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FCA10F">
      <w:pPr>
        <w:pStyle w:val="3"/>
        <w:jc w:val="center"/>
        <w:rPr>
          <w:rFonts w:ascii="宋体" w:hAnsi="宋体"/>
        </w:rPr>
      </w:pPr>
      <w:r>
        <w:rPr>
          <w:rFonts w:hint="eastAsia" w:ascii="宋体" w:hAnsi="宋体"/>
        </w:rPr>
        <w:t>用户需求书</w:t>
      </w:r>
    </w:p>
    <w:p w14:paraId="320081B2">
      <w:pPr>
        <w:pStyle w:val="4"/>
        <w:numPr>
          <w:ilvl w:val="0"/>
          <w:numId w:val="2"/>
        </w:numPr>
        <w:rPr>
          <w:rFonts w:ascii="宋体" w:hAnsi="宋体"/>
        </w:rPr>
      </w:pPr>
      <w:r>
        <w:rPr>
          <w:rFonts w:hint="eastAsia" w:ascii="宋体" w:hAnsi="宋体"/>
        </w:rPr>
        <w:t>项目背景</w:t>
      </w:r>
    </w:p>
    <w:p w14:paraId="3B864452">
      <w:pPr>
        <w:ind w:firstLine="480" w:firstLineChars="200"/>
        <w:rPr>
          <w:rFonts w:hint="eastAsia" w:ascii="宋体" w:hAnsi="宋体" w:eastAsia="宋体" w:cs="Arial"/>
          <w:sz w:val="24"/>
        </w:rPr>
      </w:pPr>
      <w:r>
        <w:rPr>
          <w:rFonts w:hint="eastAsia" w:ascii="宋体" w:hAnsi="宋体" w:eastAsia="宋体" w:cs="Arial"/>
          <w:sz w:val="24"/>
          <w:lang w:val="en-US" w:eastAsia="zh-CN"/>
        </w:rPr>
        <w:t>广东南方新媒体股份有限公司</w:t>
      </w:r>
      <w:r>
        <w:rPr>
          <w:rFonts w:hint="default" w:ascii="宋体" w:hAnsi="宋体" w:eastAsia="宋体" w:cs="Arial"/>
          <w:sz w:val="24"/>
          <w:lang w:val="en-US" w:eastAsia="zh-CN"/>
        </w:rPr>
        <w:t>在2019年建设了一套IPTV用户行为分析系统，</w:t>
      </w:r>
      <w:r>
        <w:rPr>
          <w:rFonts w:hint="eastAsia" w:ascii="宋体" w:hAnsi="宋体" w:eastAsia="宋体" w:cs="Arial"/>
          <w:sz w:val="24"/>
        </w:rPr>
        <w:t>由神策网络科技（北京）有限公司进行建设，</w:t>
      </w:r>
      <w:r>
        <w:rPr>
          <w:rFonts w:hint="default" w:ascii="宋体" w:hAnsi="宋体" w:eastAsia="宋体" w:cs="Arial"/>
          <w:sz w:val="24"/>
          <w:lang w:val="en-US" w:eastAsia="zh-CN"/>
        </w:rPr>
        <w:t>现计划对该套系统采购维保服务。</w:t>
      </w:r>
    </w:p>
    <w:p w14:paraId="409621F6">
      <w:pPr>
        <w:rPr>
          <w:rFonts w:hint="eastAsia"/>
        </w:rPr>
      </w:pPr>
    </w:p>
    <w:p w14:paraId="10BBB90F">
      <w:pPr>
        <w:pStyle w:val="4"/>
        <w:numPr>
          <w:ilvl w:val="0"/>
          <w:numId w:val="2"/>
        </w:numPr>
        <w:rPr>
          <w:rFonts w:hint="eastAsia" w:ascii="宋体" w:hAnsi="宋体"/>
        </w:rPr>
      </w:pPr>
      <w:r>
        <w:rPr>
          <w:rFonts w:hint="eastAsia" w:ascii="宋体" w:hAnsi="宋体"/>
        </w:rPr>
        <w:t>维保系统清单</w:t>
      </w:r>
    </w:p>
    <w:tbl>
      <w:tblPr>
        <w:tblStyle w:val="12"/>
        <w:tblW w:w="5000" w:type="pct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4"/>
        <w:gridCol w:w="5363"/>
        <w:gridCol w:w="1089"/>
      </w:tblGrid>
      <w:tr w14:paraId="4E2EF21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12" w:type="pct"/>
            <w:vAlign w:val="center"/>
          </w:tcPr>
          <w:p w14:paraId="30B9DFCF"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系统名称</w:t>
            </w:r>
          </w:p>
        </w:tc>
        <w:tc>
          <w:tcPr>
            <w:tcW w:w="3149" w:type="pct"/>
            <w:vAlign w:val="center"/>
          </w:tcPr>
          <w:p w14:paraId="65CBC869"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服务描述</w:t>
            </w:r>
          </w:p>
        </w:tc>
        <w:tc>
          <w:tcPr>
            <w:tcW w:w="639" w:type="pct"/>
            <w:vAlign w:val="center"/>
          </w:tcPr>
          <w:p w14:paraId="55D45788"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ascii="宋体" w:hAnsi="宋体"/>
                <w:b/>
                <w:bCs/>
                <w:sz w:val="24"/>
              </w:rPr>
              <w:t>维保服务期</w:t>
            </w:r>
          </w:p>
        </w:tc>
      </w:tr>
      <w:tr w14:paraId="64C0346A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12" w:type="pct"/>
            <w:vAlign w:val="center"/>
          </w:tcPr>
          <w:p w14:paraId="29730FF7">
            <w:pPr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用户行为分析系统</w:t>
            </w:r>
          </w:p>
        </w:tc>
        <w:tc>
          <w:tcPr>
            <w:tcW w:w="3149" w:type="pct"/>
            <w:vAlign w:val="center"/>
          </w:tcPr>
          <w:p w14:paraId="494A2E56">
            <w:pPr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提供系统软件的维保服务，保障系统的稳定、高效运行，包括但不限于应用系统、相关组件及保证应用系统正常可用的周边配置服务，例如除服务器硬件设备以外的操作系统、网络配置、中间件和应用软件的整体运维保障</w:t>
            </w:r>
          </w:p>
        </w:tc>
        <w:tc>
          <w:tcPr>
            <w:tcW w:w="639" w:type="pct"/>
            <w:vAlign w:val="center"/>
          </w:tcPr>
          <w:p w14:paraId="3DE06645">
            <w:pPr>
              <w:jc w:val="center"/>
              <w:rPr>
                <w:rFonts w:hint="eastAsia"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合同签订起3</w:t>
            </w:r>
            <w:r>
              <w:rPr>
                <w:rFonts w:hint="eastAsia" w:ascii="宋体" w:hAnsi="宋体" w:cs="Arial"/>
                <w:sz w:val="24"/>
              </w:rPr>
              <w:t>年</w:t>
            </w:r>
          </w:p>
        </w:tc>
      </w:tr>
    </w:tbl>
    <w:p w14:paraId="09DB36B0">
      <w:pPr>
        <w:adjustRightInd w:val="0"/>
        <w:snapToGrid w:val="0"/>
        <w:spacing w:line="360" w:lineRule="auto"/>
        <w:rPr>
          <w:rFonts w:hint="eastAsia" w:ascii="宋体" w:hAnsi="宋体" w:cs="宋体"/>
          <w:color w:val="000000"/>
          <w:sz w:val="28"/>
          <w:szCs w:val="28"/>
        </w:rPr>
      </w:pPr>
    </w:p>
    <w:p w14:paraId="05945F9C">
      <w:pPr>
        <w:pStyle w:val="4"/>
        <w:numPr>
          <w:ilvl w:val="0"/>
          <w:numId w:val="2"/>
        </w:numPr>
        <w:rPr>
          <w:rFonts w:hint="eastAsia" w:ascii="宋体" w:hAnsi="宋体"/>
        </w:rPr>
      </w:pPr>
      <w:r>
        <w:rPr>
          <w:rFonts w:hint="eastAsia" w:ascii="宋体" w:hAnsi="宋体"/>
        </w:rPr>
        <w:t>服务要求</w:t>
      </w:r>
    </w:p>
    <w:p w14:paraId="1C43BCFC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1.1维保服务要求</w:t>
      </w:r>
    </w:p>
    <w:p w14:paraId="6DB5DBE5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提供7×24服务响应级别。</w:t>
      </w:r>
    </w:p>
    <w:p w14:paraId="74C1E3E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(1)服务时间：7×24小时。</w:t>
      </w:r>
    </w:p>
    <w:p w14:paraId="4D516E6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(2)响应时间：要求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即时响应，并在接到报修后30分钟内向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提出故障处理方案。</w:t>
      </w:r>
    </w:p>
    <w:p w14:paraId="48067DD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(3)到场时间：要求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在规定时间内远程接入提供维护服务，如需要到现场，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需在规定时间内到达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指定现场提供维护服务。</w:t>
      </w:r>
    </w:p>
    <w:p w14:paraId="3C16F2C1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(4)故障恢复时间：要求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在规定时间内恢复故障，并在故障恢复后1个工作日内提供故障报告。</w:t>
      </w:r>
    </w:p>
    <w:p w14:paraId="576BB8C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(5)响应时间及服务响应时间</w:t>
      </w:r>
    </w:p>
    <w:tbl>
      <w:tblPr>
        <w:tblStyle w:val="1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551"/>
        <w:gridCol w:w="1105"/>
        <w:gridCol w:w="1347"/>
        <w:gridCol w:w="1092"/>
        <w:gridCol w:w="1603"/>
      </w:tblGrid>
      <w:tr w14:paraId="66B74F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65706B2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故障级别</w:t>
            </w:r>
          </w:p>
        </w:tc>
        <w:tc>
          <w:tcPr>
            <w:tcW w:w="1498" w:type="pct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24CB372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故障级别说明</w:t>
            </w:r>
          </w:p>
        </w:tc>
        <w:tc>
          <w:tcPr>
            <w:tcW w:w="649" w:type="pct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046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电话响应时间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6BEE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远程接入响应时间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AAFD8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现场响应时间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CCBE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恢复系统正常运行时间</w:t>
            </w:r>
          </w:p>
        </w:tc>
      </w:tr>
      <w:tr w14:paraId="43BA2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5FD840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严重</w:t>
            </w:r>
          </w:p>
        </w:tc>
        <w:tc>
          <w:tcPr>
            <w:tcW w:w="1498" w:type="pc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4F7C9C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影响业务系统全部或部分交易故障</w:t>
            </w:r>
          </w:p>
        </w:tc>
        <w:tc>
          <w:tcPr>
            <w:tcW w:w="649" w:type="pc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61045F1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C0A4A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15分钟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8CC4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2336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2小时恢复系统正常运行</w:t>
            </w:r>
          </w:p>
        </w:tc>
      </w:tr>
      <w:tr w14:paraId="41E3EC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098E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重要</w:t>
            </w:r>
          </w:p>
        </w:tc>
        <w:tc>
          <w:tcPr>
            <w:tcW w:w="14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4B4ABD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业务系统全部或部分交易运行缓慢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42313B2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B673F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20分钟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CE60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6小时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0DBF9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5小时恢复系统正常运行</w:t>
            </w:r>
          </w:p>
        </w:tc>
      </w:tr>
      <w:tr w14:paraId="4CA44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8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0D227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一般</w:t>
            </w:r>
          </w:p>
        </w:tc>
        <w:tc>
          <w:tcPr>
            <w:tcW w:w="1498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4BB1ED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一般报警信息，对交易系统正常运行没有影响；系统参数调整等</w:t>
            </w:r>
          </w:p>
        </w:tc>
        <w:tc>
          <w:tcPr>
            <w:tcW w:w="649" w:type="pc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 w14:paraId="099B4E44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10分钟</w:t>
            </w:r>
          </w:p>
        </w:tc>
        <w:tc>
          <w:tcPr>
            <w:tcW w:w="79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63B9B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30小时</w:t>
            </w:r>
          </w:p>
        </w:tc>
        <w:tc>
          <w:tcPr>
            <w:tcW w:w="6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965E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12小时</w:t>
            </w:r>
          </w:p>
        </w:tc>
        <w:tc>
          <w:tcPr>
            <w:tcW w:w="94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C80CE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24小时恢复系统正常运行</w:t>
            </w:r>
          </w:p>
        </w:tc>
      </w:tr>
    </w:tbl>
    <w:p w14:paraId="4C3FE0DB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1.2软件更新服务</w:t>
      </w:r>
    </w:p>
    <w:p w14:paraId="49A2094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提供软件BUG的定位和修复服务，发现产品中疑似BUG，向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进行反馈，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根据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的反馈现象进行测</w:t>
      </w:r>
      <w:bookmarkStart w:id="0" w:name="_GoBack"/>
      <w:bookmarkEnd w:id="0"/>
      <w:r>
        <w:rPr>
          <w:rFonts w:hint="eastAsia" w:ascii="宋体" w:hAnsi="宋体"/>
          <w:sz w:val="24"/>
        </w:rPr>
        <w:t>试验证，如果是产品BUG，</w:t>
      </w:r>
      <w:r>
        <w:rPr>
          <w:rFonts w:hint="eastAsia" w:ascii="宋体" w:hAnsi="宋体"/>
          <w:sz w:val="24"/>
          <w:lang w:eastAsia="zh-CN"/>
        </w:rPr>
        <w:t>中标人</w:t>
      </w:r>
      <w:r>
        <w:rPr>
          <w:rFonts w:hint="eastAsia" w:ascii="宋体" w:hAnsi="宋体"/>
          <w:sz w:val="24"/>
        </w:rPr>
        <w:t>排期进行软件BUG修复，发布版本之后，对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的系统进行修复，包括但不限于产品自身软件BUG、产品所依赖的操作系统、中间件、数据库等各组件所发现的漏洞修复。</w:t>
      </w:r>
    </w:p>
    <w:p w14:paraId="684B9D58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1.3运维保障服务</w:t>
      </w:r>
    </w:p>
    <w:p w14:paraId="37E0390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提供7*24小时应急响应及保障服务，保证系统的稳定可靠运行，包括电话、远程、现场方式。</w:t>
      </w:r>
    </w:p>
    <w:p w14:paraId="2FF85EEB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1.3.1提供7*24小时应急响应及保障服务，确保系统稳定可靠运行；</w:t>
      </w:r>
    </w:p>
    <w:p w14:paraId="665E18A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1.3.2提供现场升级、维护服务；</w:t>
      </w:r>
    </w:p>
    <w:p w14:paraId="42E4190E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1.3.3运维保障服务包括但不限于应用系统、相关组件及保证应用系统正常可用的周边配置服务，例如除服务器硬件设备以外的操作系统、网络配置、中间件和应用软件的整体运维保障；</w:t>
      </w:r>
    </w:p>
    <w:p w14:paraId="43A200E2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1.4系统巡检服务</w:t>
      </w:r>
    </w:p>
    <w:p w14:paraId="3908ACE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对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环境进行全面诊断、巡检，发现存在的问题或风险点，并对存在的问题进行整改。</w:t>
      </w:r>
    </w:p>
    <w:p w14:paraId="1CDEDD3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1.4.1包含系统资源使用分析、原系统产品组件检查、大数据组件检查、数据导入检查等服务内容，服务范围包含：系统整体健康状态检查、指出存在的风险和隐患，及建议的处理方式，包括问题处理、风险规避及相关优化服务。</w:t>
      </w:r>
    </w:p>
    <w:p w14:paraId="2CDA182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1.4.2提供巡检和现场重点保障（春节两会、国庆两个重保期前的巡检）。</w:t>
      </w:r>
    </w:p>
    <w:p w14:paraId="45DE0D80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1.4.3每年不超过一次临时特殊保障期的巡检检查和重点保障。</w:t>
      </w:r>
    </w:p>
    <w:p w14:paraId="72B8C635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1.5产品技术支持服务</w:t>
      </w:r>
    </w:p>
    <w:p w14:paraId="3598CFDF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提供</w:t>
      </w: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*</w:t>
      </w:r>
      <w:r>
        <w:rPr>
          <w:rFonts w:hint="eastAsia" w:ascii="宋体" w:hAnsi="宋体"/>
          <w:sz w:val="24"/>
          <w:lang w:val="en-US" w:eastAsia="zh-CN"/>
        </w:rPr>
        <w:t>24</w:t>
      </w:r>
      <w:r>
        <w:rPr>
          <w:rFonts w:hint="eastAsia" w:ascii="宋体" w:hAnsi="宋体"/>
          <w:sz w:val="24"/>
        </w:rPr>
        <w:t>小时产品技术支持服务，包括电话、远程、现场方式，提供产品使用、产品异常问题诊断等服务。</w:t>
      </w:r>
    </w:p>
    <w:p w14:paraId="426B782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1.5.1产品使用答疑：提供产品使用方面的咨询答疑和基于产品功能的逻辑答疑；</w:t>
      </w:r>
    </w:p>
    <w:p w14:paraId="2FED375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1.5.2异常诊断</w:t>
      </w:r>
    </w:p>
    <w:p w14:paraId="3A71409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1）数据差异性诊断：包括原系统自身业务系统内数据差异，给出统计口径的分析和答复；</w:t>
      </w:r>
    </w:p>
    <w:p w14:paraId="25C823AC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2）产品提示异常或者访问异常诊断：根据产品提示的异常，诊断出异常的原因，并告知方法；</w:t>
      </w:r>
    </w:p>
    <w:p w14:paraId="0A0D3B2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3）系统性能的问题诊断：分析系统使用现状，诊断出现有系统使用的瓶颈，提供建议。</w:t>
      </w:r>
    </w:p>
    <w:p w14:paraId="38A30D74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1.6业务扩容、迁移及割接</w:t>
      </w:r>
    </w:p>
    <w:p w14:paraId="6247DD2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协助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完成迁移前的评估、新环境资源评估、新环境部署、系统扩容、老环境版本升级、实施迁移、迁移后的验证、迁移后的注意事项通知、数据导入、数据导出等工作。</w:t>
      </w:r>
    </w:p>
    <w:p w14:paraId="79FBFBFA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1.7业务验证及应急演练服务</w:t>
      </w:r>
    </w:p>
    <w:p w14:paraId="52FEABB7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若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的环境进行调整，如网络调整、机房调整、上下游等环境进行调整，需配合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进行调整以及系统运行状态确认和业务验证；</w:t>
      </w:r>
    </w:p>
    <w:p w14:paraId="0F0E7C1A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为保证系统的可靠运行，检验应急响应中协同反应水平和实战能力、评估应急响应预案的实用性、可行性、可靠性，依据应急预案，需对系统进行可靠性、应急演练，需提供演练方案和安排安全人员进行演练，并做好总结和问题修复。</w:t>
      </w:r>
    </w:p>
    <w:p w14:paraId="39BBA526">
      <w:pPr>
        <w:pStyle w:val="5"/>
        <w:numPr>
          <w:ilvl w:val="0"/>
          <w:numId w:val="0"/>
        </w:numPr>
        <w:spacing w:before="0" w:after="0" w:line="360" w:lineRule="auto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1.8信息安全服务</w:t>
      </w:r>
    </w:p>
    <w:p w14:paraId="3E7E6753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系统平台需符合相关安全规范要求，包含与系统平台相关的组件的漏洞修复和安全策略加固。每年配合</w:t>
      </w:r>
      <w:r>
        <w:rPr>
          <w:rFonts w:hint="eastAsia" w:ascii="宋体" w:hAnsi="宋体"/>
          <w:sz w:val="24"/>
          <w:lang w:eastAsia="zh-CN"/>
        </w:rPr>
        <w:t>采购人</w:t>
      </w:r>
      <w:r>
        <w:rPr>
          <w:rFonts w:hint="eastAsia" w:ascii="宋体" w:hAnsi="宋体"/>
          <w:sz w:val="24"/>
        </w:rPr>
        <w:t>完成等保的测评，对等保测评、渗透、扫描及相关安全检查等发现的安全问题、公布的安全漏洞等进行整改及安全策略加固，包含不限于操作系统、中间件、应用软件等层面漏洞修复和安全策略加固。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altName w:val="宋体"/>
    <w:panose1 w:val="01010104010101010101"/>
    <w:charset w:val="86"/>
    <w:family w:val="auto"/>
    <w:pitch w:val="default"/>
    <w:sig w:usb0="00000000" w:usb1="00000000" w:usb2="00000000" w:usb3="00000000" w:csb0="00040001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体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LKHHE B+ Palatino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E07395"/>
    <w:multiLevelType w:val="multilevel"/>
    <w:tmpl w:val="02E07395"/>
    <w:lvl w:ilvl="0" w:tentative="0">
      <w:start w:val="1"/>
      <w:numFmt w:val="chineseCounting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pStyle w:val="5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abstractNum w:abstractNumId="1">
    <w:nsid w:val="419A7D25"/>
    <w:multiLevelType w:val="multilevel"/>
    <w:tmpl w:val="419A7D25"/>
    <w:lvl w:ilvl="0" w:tentative="0">
      <w:start w:val="1"/>
      <w:numFmt w:val="japaneseCounting"/>
      <w:lvlText w:val="%1、"/>
      <w:lvlJc w:val="left"/>
      <w:pPr>
        <w:ind w:left="620" w:hanging="6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ZWZmODljNWNhM2ZiMzhjYTc3NzY5MzJkZGY4NDgifQ=="/>
  </w:docVars>
  <w:rsids>
    <w:rsidRoot w:val="009D711F"/>
    <w:rsid w:val="00004610"/>
    <w:rsid w:val="000108C4"/>
    <w:rsid w:val="00011891"/>
    <w:rsid w:val="00022FF5"/>
    <w:rsid w:val="0004540A"/>
    <w:rsid w:val="000C3C23"/>
    <w:rsid w:val="000D00B4"/>
    <w:rsid w:val="000E3CDE"/>
    <w:rsid w:val="000E5757"/>
    <w:rsid w:val="00120158"/>
    <w:rsid w:val="00124BD4"/>
    <w:rsid w:val="00125576"/>
    <w:rsid w:val="00125A6F"/>
    <w:rsid w:val="00132F66"/>
    <w:rsid w:val="00133EA3"/>
    <w:rsid w:val="00135D72"/>
    <w:rsid w:val="00153D94"/>
    <w:rsid w:val="00187358"/>
    <w:rsid w:val="00191300"/>
    <w:rsid w:val="001A518E"/>
    <w:rsid w:val="001E06BC"/>
    <w:rsid w:val="00210478"/>
    <w:rsid w:val="00211A26"/>
    <w:rsid w:val="00212BE2"/>
    <w:rsid w:val="0022168B"/>
    <w:rsid w:val="002374EA"/>
    <w:rsid w:val="002515C5"/>
    <w:rsid w:val="002615EA"/>
    <w:rsid w:val="0026238A"/>
    <w:rsid w:val="00262BEC"/>
    <w:rsid w:val="00273B73"/>
    <w:rsid w:val="002844E3"/>
    <w:rsid w:val="00287342"/>
    <w:rsid w:val="002A71A4"/>
    <w:rsid w:val="002D79F7"/>
    <w:rsid w:val="00315890"/>
    <w:rsid w:val="00321875"/>
    <w:rsid w:val="00346D20"/>
    <w:rsid w:val="003541A7"/>
    <w:rsid w:val="003767BA"/>
    <w:rsid w:val="00383C81"/>
    <w:rsid w:val="003845C3"/>
    <w:rsid w:val="003900AC"/>
    <w:rsid w:val="003A0EC8"/>
    <w:rsid w:val="003A2946"/>
    <w:rsid w:val="003E2A29"/>
    <w:rsid w:val="0040459A"/>
    <w:rsid w:val="0042517B"/>
    <w:rsid w:val="00464CB9"/>
    <w:rsid w:val="004807B6"/>
    <w:rsid w:val="00493611"/>
    <w:rsid w:val="004B33F8"/>
    <w:rsid w:val="004C231E"/>
    <w:rsid w:val="004E0B83"/>
    <w:rsid w:val="004E1ECE"/>
    <w:rsid w:val="004E5C68"/>
    <w:rsid w:val="00503372"/>
    <w:rsid w:val="00505D68"/>
    <w:rsid w:val="00510F70"/>
    <w:rsid w:val="00523C21"/>
    <w:rsid w:val="0052593B"/>
    <w:rsid w:val="00557F30"/>
    <w:rsid w:val="00557F7C"/>
    <w:rsid w:val="00571237"/>
    <w:rsid w:val="00580C2E"/>
    <w:rsid w:val="005827C6"/>
    <w:rsid w:val="00583349"/>
    <w:rsid w:val="00593220"/>
    <w:rsid w:val="005A0BF7"/>
    <w:rsid w:val="005A6AC6"/>
    <w:rsid w:val="005A6C45"/>
    <w:rsid w:val="005B26FB"/>
    <w:rsid w:val="005B5D5E"/>
    <w:rsid w:val="005C4CDB"/>
    <w:rsid w:val="005E08F1"/>
    <w:rsid w:val="005E18F1"/>
    <w:rsid w:val="005E34DE"/>
    <w:rsid w:val="005E5EE8"/>
    <w:rsid w:val="005F02D3"/>
    <w:rsid w:val="005F1F18"/>
    <w:rsid w:val="005F3946"/>
    <w:rsid w:val="00601A44"/>
    <w:rsid w:val="006122F6"/>
    <w:rsid w:val="006145CF"/>
    <w:rsid w:val="006321F9"/>
    <w:rsid w:val="00641C96"/>
    <w:rsid w:val="00662F9D"/>
    <w:rsid w:val="00671D1C"/>
    <w:rsid w:val="006739A5"/>
    <w:rsid w:val="00680B08"/>
    <w:rsid w:val="00680BBF"/>
    <w:rsid w:val="00680DA4"/>
    <w:rsid w:val="0068592C"/>
    <w:rsid w:val="00692C9A"/>
    <w:rsid w:val="006E4B9A"/>
    <w:rsid w:val="007014EB"/>
    <w:rsid w:val="007348A6"/>
    <w:rsid w:val="00735AB6"/>
    <w:rsid w:val="007457D5"/>
    <w:rsid w:val="007664B9"/>
    <w:rsid w:val="00773EE8"/>
    <w:rsid w:val="007809A0"/>
    <w:rsid w:val="00783E90"/>
    <w:rsid w:val="007953C6"/>
    <w:rsid w:val="007A1039"/>
    <w:rsid w:val="007A23EE"/>
    <w:rsid w:val="007B0A8C"/>
    <w:rsid w:val="007B3CA6"/>
    <w:rsid w:val="007B6F74"/>
    <w:rsid w:val="007D0487"/>
    <w:rsid w:val="007E2EAE"/>
    <w:rsid w:val="007E3B54"/>
    <w:rsid w:val="007E4ECF"/>
    <w:rsid w:val="007F7935"/>
    <w:rsid w:val="0081182F"/>
    <w:rsid w:val="0081482D"/>
    <w:rsid w:val="00826775"/>
    <w:rsid w:val="00830FF6"/>
    <w:rsid w:val="0083643B"/>
    <w:rsid w:val="0084144D"/>
    <w:rsid w:val="0084228E"/>
    <w:rsid w:val="00864577"/>
    <w:rsid w:val="0087009A"/>
    <w:rsid w:val="00897471"/>
    <w:rsid w:val="00897D2C"/>
    <w:rsid w:val="008A1DB4"/>
    <w:rsid w:val="008D3FEF"/>
    <w:rsid w:val="008F2CD0"/>
    <w:rsid w:val="008F5D59"/>
    <w:rsid w:val="00904537"/>
    <w:rsid w:val="00922786"/>
    <w:rsid w:val="009240C6"/>
    <w:rsid w:val="0095309E"/>
    <w:rsid w:val="009679D9"/>
    <w:rsid w:val="00982404"/>
    <w:rsid w:val="009D711F"/>
    <w:rsid w:val="009E156A"/>
    <w:rsid w:val="009E42B5"/>
    <w:rsid w:val="009E7330"/>
    <w:rsid w:val="009F7500"/>
    <w:rsid w:val="00A1139D"/>
    <w:rsid w:val="00A172BC"/>
    <w:rsid w:val="00A236F3"/>
    <w:rsid w:val="00A5223E"/>
    <w:rsid w:val="00A84636"/>
    <w:rsid w:val="00AD291C"/>
    <w:rsid w:val="00AD4A2C"/>
    <w:rsid w:val="00AE2DB1"/>
    <w:rsid w:val="00B32EE6"/>
    <w:rsid w:val="00B83E2E"/>
    <w:rsid w:val="00BA7921"/>
    <w:rsid w:val="00BB4EF0"/>
    <w:rsid w:val="00BB7BF0"/>
    <w:rsid w:val="00BE2AEF"/>
    <w:rsid w:val="00BF2D30"/>
    <w:rsid w:val="00C11355"/>
    <w:rsid w:val="00C1623B"/>
    <w:rsid w:val="00C17CD8"/>
    <w:rsid w:val="00C21773"/>
    <w:rsid w:val="00C410A4"/>
    <w:rsid w:val="00C42C23"/>
    <w:rsid w:val="00C545B8"/>
    <w:rsid w:val="00C73C5E"/>
    <w:rsid w:val="00C802D3"/>
    <w:rsid w:val="00C80F42"/>
    <w:rsid w:val="00C81132"/>
    <w:rsid w:val="00C938E0"/>
    <w:rsid w:val="00CA2DFA"/>
    <w:rsid w:val="00CF6DF1"/>
    <w:rsid w:val="00D34A0E"/>
    <w:rsid w:val="00D43BCC"/>
    <w:rsid w:val="00D7098F"/>
    <w:rsid w:val="00D71A5B"/>
    <w:rsid w:val="00D75773"/>
    <w:rsid w:val="00D93D4E"/>
    <w:rsid w:val="00DA3FF0"/>
    <w:rsid w:val="00DB5D8A"/>
    <w:rsid w:val="00DC1377"/>
    <w:rsid w:val="00DF1321"/>
    <w:rsid w:val="00E103DA"/>
    <w:rsid w:val="00E4215A"/>
    <w:rsid w:val="00E6609E"/>
    <w:rsid w:val="00E72778"/>
    <w:rsid w:val="00E8628D"/>
    <w:rsid w:val="00E86F01"/>
    <w:rsid w:val="00E96046"/>
    <w:rsid w:val="00EA1D9A"/>
    <w:rsid w:val="00EB3AD8"/>
    <w:rsid w:val="00EB3B60"/>
    <w:rsid w:val="00EC593F"/>
    <w:rsid w:val="00ED4F8E"/>
    <w:rsid w:val="00F132C0"/>
    <w:rsid w:val="00F72EBF"/>
    <w:rsid w:val="00F7461C"/>
    <w:rsid w:val="00F92EF8"/>
    <w:rsid w:val="00F9566E"/>
    <w:rsid w:val="00FB70C8"/>
    <w:rsid w:val="00FC031E"/>
    <w:rsid w:val="00FC7509"/>
    <w:rsid w:val="00FD3128"/>
    <w:rsid w:val="00FD5E13"/>
    <w:rsid w:val="00FE09E4"/>
    <w:rsid w:val="00FF0681"/>
    <w:rsid w:val="00FF6AD5"/>
    <w:rsid w:val="01F971B0"/>
    <w:rsid w:val="02A8199B"/>
    <w:rsid w:val="03B94246"/>
    <w:rsid w:val="04102916"/>
    <w:rsid w:val="042269B2"/>
    <w:rsid w:val="04792073"/>
    <w:rsid w:val="04823442"/>
    <w:rsid w:val="04BA1FD6"/>
    <w:rsid w:val="052878D5"/>
    <w:rsid w:val="05706325"/>
    <w:rsid w:val="05825C4A"/>
    <w:rsid w:val="05A62574"/>
    <w:rsid w:val="05A752A3"/>
    <w:rsid w:val="06123B2E"/>
    <w:rsid w:val="061618D8"/>
    <w:rsid w:val="068C2AA6"/>
    <w:rsid w:val="06A02AF4"/>
    <w:rsid w:val="07504FB6"/>
    <w:rsid w:val="077F00A3"/>
    <w:rsid w:val="07E060CA"/>
    <w:rsid w:val="08206A86"/>
    <w:rsid w:val="089A09F3"/>
    <w:rsid w:val="08FC3585"/>
    <w:rsid w:val="090E2322"/>
    <w:rsid w:val="0D9F1DC3"/>
    <w:rsid w:val="0DB94680"/>
    <w:rsid w:val="0DE1526B"/>
    <w:rsid w:val="0F8013C4"/>
    <w:rsid w:val="107142C8"/>
    <w:rsid w:val="12214868"/>
    <w:rsid w:val="123A5F3E"/>
    <w:rsid w:val="1319248D"/>
    <w:rsid w:val="151947FE"/>
    <w:rsid w:val="156F517A"/>
    <w:rsid w:val="15FD6632"/>
    <w:rsid w:val="160950AD"/>
    <w:rsid w:val="16302F25"/>
    <w:rsid w:val="165C62DB"/>
    <w:rsid w:val="16612C47"/>
    <w:rsid w:val="16C87C07"/>
    <w:rsid w:val="16D73D1B"/>
    <w:rsid w:val="175B3C78"/>
    <w:rsid w:val="176333D2"/>
    <w:rsid w:val="17955982"/>
    <w:rsid w:val="18212973"/>
    <w:rsid w:val="18D058ED"/>
    <w:rsid w:val="19322427"/>
    <w:rsid w:val="19AC6AF4"/>
    <w:rsid w:val="1A3477C4"/>
    <w:rsid w:val="1A7B06FD"/>
    <w:rsid w:val="1AE45BF4"/>
    <w:rsid w:val="1C38318C"/>
    <w:rsid w:val="1C7678C4"/>
    <w:rsid w:val="1D403858"/>
    <w:rsid w:val="1D87384D"/>
    <w:rsid w:val="1D8A4903"/>
    <w:rsid w:val="1DAE6295"/>
    <w:rsid w:val="1DB4109C"/>
    <w:rsid w:val="1E380731"/>
    <w:rsid w:val="1E403142"/>
    <w:rsid w:val="1E833EC6"/>
    <w:rsid w:val="1EA700BC"/>
    <w:rsid w:val="1EE71E22"/>
    <w:rsid w:val="1EF32414"/>
    <w:rsid w:val="1F422FD0"/>
    <w:rsid w:val="205D5FB8"/>
    <w:rsid w:val="20BE20B5"/>
    <w:rsid w:val="20E56936"/>
    <w:rsid w:val="211467ED"/>
    <w:rsid w:val="217F396E"/>
    <w:rsid w:val="223E478E"/>
    <w:rsid w:val="22C9023D"/>
    <w:rsid w:val="23077084"/>
    <w:rsid w:val="2322550C"/>
    <w:rsid w:val="23A93917"/>
    <w:rsid w:val="23CD7C1F"/>
    <w:rsid w:val="24046961"/>
    <w:rsid w:val="240E4511"/>
    <w:rsid w:val="248D60CD"/>
    <w:rsid w:val="249B5D76"/>
    <w:rsid w:val="24BA29F5"/>
    <w:rsid w:val="255D4FD5"/>
    <w:rsid w:val="25634F78"/>
    <w:rsid w:val="26302BF1"/>
    <w:rsid w:val="275863FE"/>
    <w:rsid w:val="27656538"/>
    <w:rsid w:val="27A73754"/>
    <w:rsid w:val="29336385"/>
    <w:rsid w:val="2953157D"/>
    <w:rsid w:val="2A571319"/>
    <w:rsid w:val="2A5E5BEC"/>
    <w:rsid w:val="2A8624FC"/>
    <w:rsid w:val="2ADF2143"/>
    <w:rsid w:val="2B0924B3"/>
    <w:rsid w:val="2B970139"/>
    <w:rsid w:val="2BBB5519"/>
    <w:rsid w:val="2C125544"/>
    <w:rsid w:val="2C4270E3"/>
    <w:rsid w:val="2C8C3640"/>
    <w:rsid w:val="2CB27F13"/>
    <w:rsid w:val="2CCD0F33"/>
    <w:rsid w:val="2CE900F0"/>
    <w:rsid w:val="2E0F3FEE"/>
    <w:rsid w:val="300A0FD2"/>
    <w:rsid w:val="30EC6900"/>
    <w:rsid w:val="31011B73"/>
    <w:rsid w:val="31170AC4"/>
    <w:rsid w:val="31741BD1"/>
    <w:rsid w:val="318039DA"/>
    <w:rsid w:val="32A2359B"/>
    <w:rsid w:val="32D14857"/>
    <w:rsid w:val="33381C51"/>
    <w:rsid w:val="357C9D70"/>
    <w:rsid w:val="35D329E0"/>
    <w:rsid w:val="36976F12"/>
    <w:rsid w:val="38161A64"/>
    <w:rsid w:val="391E4F75"/>
    <w:rsid w:val="39BD6064"/>
    <w:rsid w:val="39DD1D6C"/>
    <w:rsid w:val="3A161E70"/>
    <w:rsid w:val="3B787BA9"/>
    <w:rsid w:val="3B7B6722"/>
    <w:rsid w:val="3C0723C0"/>
    <w:rsid w:val="3C0E61D6"/>
    <w:rsid w:val="3C3F596C"/>
    <w:rsid w:val="3C6C3FE5"/>
    <w:rsid w:val="3CCD3D1B"/>
    <w:rsid w:val="3DA71246"/>
    <w:rsid w:val="3DD112BA"/>
    <w:rsid w:val="3DE83D8D"/>
    <w:rsid w:val="3EC0100B"/>
    <w:rsid w:val="3ED119DE"/>
    <w:rsid w:val="3F215E8D"/>
    <w:rsid w:val="3FB314F3"/>
    <w:rsid w:val="3FC2384E"/>
    <w:rsid w:val="408A5CB3"/>
    <w:rsid w:val="4194717D"/>
    <w:rsid w:val="41A15010"/>
    <w:rsid w:val="4278473A"/>
    <w:rsid w:val="428E14DE"/>
    <w:rsid w:val="43C16D29"/>
    <w:rsid w:val="44A111E4"/>
    <w:rsid w:val="44CC6814"/>
    <w:rsid w:val="44DA4E02"/>
    <w:rsid w:val="44FA7C3F"/>
    <w:rsid w:val="453F40FA"/>
    <w:rsid w:val="45E648B0"/>
    <w:rsid w:val="466170FB"/>
    <w:rsid w:val="47553FAE"/>
    <w:rsid w:val="4760114D"/>
    <w:rsid w:val="47A37E3E"/>
    <w:rsid w:val="482939BF"/>
    <w:rsid w:val="484E5E9D"/>
    <w:rsid w:val="48C63B98"/>
    <w:rsid w:val="49406624"/>
    <w:rsid w:val="49ED197A"/>
    <w:rsid w:val="4A3C1ECE"/>
    <w:rsid w:val="4ADB3F74"/>
    <w:rsid w:val="4B70526A"/>
    <w:rsid w:val="4B9338C5"/>
    <w:rsid w:val="4C221024"/>
    <w:rsid w:val="4CF035CB"/>
    <w:rsid w:val="4D4752E8"/>
    <w:rsid w:val="4D9D560B"/>
    <w:rsid w:val="4E331D07"/>
    <w:rsid w:val="4ED33443"/>
    <w:rsid w:val="4F036BF8"/>
    <w:rsid w:val="504246C9"/>
    <w:rsid w:val="50892910"/>
    <w:rsid w:val="51835FBF"/>
    <w:rsid w:val="51CF3EB6"/>
    <w:rsid w:val="52155943"/>
    <w:rsid w:val="524724F9"/>
    <w:rsid w:val="529C6A94"/>
    <w:rsid w:val="53DF612B"/>
    <w:rsid w:val="54026103"/>
    <w:rsid w:val="546D3BC9"/>
    <w:rsid w:val="54883E37"/>
    <w:rsid w:val="54F712B4"/>
    <w:rsid w:val="54FD34C1"/>
    <w:rsid w:val="55BA49E9"/>
    <w:rsid w:val="55BC6024"/>
    <w:rsid w:val="55C20305"/>
    <w:rsid w:val="55E71B19"/>
    <w:rsid w:val="566F16C2"/>
    <w:rsid w:val="570F757A"/>
    <w:rsid w:val="57437197"/>
    <w:rsid w:val="5778243D"/>
    <w:rsid w:val="57F9527F"/>
    <w:rsid w:val="5854618C"/>
    <w:rsid w:val="59C642EE"/>
    <w:rsid w:val="5A9E3691"/>
    <w:rsid w:val="5AB81117"/>
    <w:rsid w:val="5B005D9F"/>
    <w:rsid w:val="5C0A6952"/>
    <w:rsid w:val="5D7A66B4"/>
    <w:rsid w:val="5D891FCB"/>
    <w:rsid w:val="5E2B6DFB"/>
    <w:rsid w:val="5E6741C7"/>
    <w:rsid w:val="5E6D556C"/>
    <w:rsid w:val="5EA11EA7"/>
    <w:rsid w:val="5F6D3613"/>
    <w:rsid w:val="609C3C0B"/>
    <w:rsid w:val="60CC43C0"/>
    <w:rsid w:val="60F1667C"/>
    <w:rsid w:val="618618CE"/>
    <w:rsid w:val="624842C0"/>
    <w:rsid w:val="62A96AD4"/>
    <w:rsid w:val="631019E4"/>
    <w:rsid w:val="63252BC2"/>
    <w:rsid w:val="634B7FD3"/>
    <w:rsid w:val="64226CCE"/>
    <w:rsid w:val="64641702"/>
    <w:rsid w:val="64B657A2"/>
    <w:rsid w:val="655B1A26"/>
    <w:rsid w:val="657310AD"/>
    <w:rsid w:val="65817EF5"/>
    <w:rsid w:val="658B4A36"/>
    <w:rsid w:val="65E128EB"/>
    <w:rsid w:val="670B2E58"/>
    <w:rsid w:val="67F31962"/>
    <w:rsid w:val="684574FB"/>
    <w:rsid w:val="68C41D74"/>
    <w:rsid w:val="690E6FC6"/>
    <w:rsid w:val="69204799"/>
    <w:rsid w:val="693206E8"/>
    <w:rsid w:val="6AB6136D"/>
    <w:rsid w:val="6C0C33EC"/>
    <w:rsid w:val="6C461851"/>
    <w:rsid w:val="6C700663"/>
    <w:rsid w:val="6C795EB9"/>
    <w:rsid w:val="6CA47EF5"/>
    <w:rsid w:val="6CAD4AD8"/>
    <w:rsid w:val="6D5907B2"/>
    <w:rsid w:val="6DD051C8"/>
    <w:rsid w:val="6EB92425"/>
    <w:rsid w:val="6F7F304C"/>
    <w:rsid w:val="6F9FFD90"/>
    <w:rsid w:val="6FC34322"/>
    <w:rsid w:val="702A41E4"/>
    <w:rsid w:val="702D2D33"/>
    <w:rsid w:val="70C01D60"/>
    <w:rsid w:val="711073F6"/>
    <w:rsid w:val="71AF7537"/>
    <w:rsid w:val="72175614"/>
    <w:rsid w:val="72937B28"/>
    <w:rsid w:val="72CE3833"/>
    <w:rsid w:val="72D66DD7"/>
    <w:rsid w:val="732E3921"/>
    <w:rsid w:val="73830C7C"/>
    <w:rsid w:val="74276179"/>
    <w:rsid w:val="74277A15"/>
    <w:rsid w:val="747C5AA5"/>
    <w:rsid w:val="74A919FB"/>
    <w:rsid w:val="74F85522"/>
    <w:rsid w:val="75B173BC"/>
    <w:rsid w:val="75CC10A0"/>
    <w:rsid w:val="77A14380"/>
    <w:rsid w:val="78A015DF"/>
    <w:rsid w:val="78D70444"/>
    <w:rsid w:val="799C3096"/>
    <w:rsid w:val="799C622E"/>
    <w:rsid w:val="7A8225E3"/>
    <w:rsid w:val="7AEE7C3D"/>
    <w:rsid w:val="7B195369"/>
    <w:rsid w:val="7BA63CA4"/>
    <w:rsid w:val="7BE116CB"/>
    <w:rsid w:val="7BFE6B76"/>
    <w:rsid w:val="7C484029"/>
    <w:rsid w:val="7CC73F74"/>
    <w:rsid w:val="7D17640F"/>
    <w:rsid w:val="7D7327D7"/>
    <w:rsid w:val="7DDC7C4B"/>
    <w:rsid w:val="7E3F6FA8"/>
    <w:rsid w:val="7ED31DC6"/>
    <w:rsid w:val="7F546BD4"/>
    <w:rsid w:val="7F7D1F4E"/>
    <w:rsid w:val="906FB393"/>
    <w:rsid w:val="B6E79789"/>
    <w:rsid w:val="CF921FC9"/>
    <w:rsid w:val="EDFFCC11"/>
    <w:rsid w:val="F7F3105E"/>
    <w:rsid w:val="FFDBD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cstheme="majorBidi"/>
      <w:b/>
      <w:bCs/>
      <w:sz w:val="30"/>
      <w:szCs w:val="32"/>
    </w:rPr>
  </w:style>
  <w:style w:type="paragraph" w:styleId="5">
    <w:name w:val="heading 3"/>
    <w:basedOn w:val="1"/>
    <w:next w:val="1"/>
    <w:unhideWhenUsed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unhideWhenUsed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7">
    <w:name w:val="Normal Indent"/>
    <w:basedOn w:val="1"/>
    <w:link w:val="24"/>
    <w:qFormat/>
    <w:uiPriority w:val="99"/>
    <w:pPr>
      <w:spacing w:after="50" w:afterLines="50" w:line="360" w:lineRule="auto"/>
      <w:ind w:firstLine="420" w:firstLineChars="200"/>
    </w:pPr>
    <w:rPr>
      <w:rFonts w:ascii="Calibri" w:hAnsi="Calibri"/>
    </w:rPr>
  </w:style>
  <w:style w:type="paragraph" w:styleId="8">
    <w:name w:val="Balloon Text"/>
    <w:basedOn w:val="1"/>
    <w:link w:val="26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0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autoSpaceDE w:val="0"/>
      <w:autoSpaceDN w:val="0"/>
      <w:spacing w:beforeAutospacing="1" w:afterAutospacing="1"/>
      <w:jc w:val="left"/>
    </w:pPr>
    <w:rPr>
      <w:rFonts w:ascii="宋体" w:hAnsi="宋体"/>
      <w:kern w:val="0"/>
      <w:sz w:val="24"/>
      <w:szCs w:val="22"/>
    </w:rPr>
  </w:style>
  <w:style w:type="table" w:styleId="13">
    <w:name w:val="Table Grid"/>
    <w:basedOn w:val="12"/>
    <w:qFormat/>
    <w:uiPriority w:val="39"/>
    <w:pPr>
      <w:spacing w:before="20" w:beforeLines="20" w:after="20" w:afterLines="20" w:line="360" w:lineRule="auto"/>
      <w:jc w:val="both"/>
    </w:pPr>
    <w:tblPr>
      <w:tblBorders>
        <w:top w:val="single" w:color="auto" w:sz="6" w:space="0"/>
        <w:left w:val="single" w:color="auto" w:sz="6" w:space="0"/>
        <w:bottom w:val="single" w:color="auto" w:sz="6" w:space="0"/>
        <w:right w:val="single" w:color="auto" w:sz="6" w:space="0"/>
        <w:insideH w:val="single" w:color="auto" w:sz="6" w:space="0"/>
        <w:insideV w:val="single" w:color="auto" w:sz="6" w:space="0"/>
      </w:tblBorders>
    </w:tblPr>
    <w:tcPr>
      <w:shd w:val="clear" w:color="auto" w:fill="FFFFFF" w:themeFill="background1"/>
      <w:vAlign w:val="center"/>
    </w:tcPr>
    <w:tblStylePr w:type="firstRow">
      <w:pPr>
        <w:wordWrap/>
        <w:spacing w:line="360" w:lineRule="auto"/>
        <w:jc w:val="center"/>
      </w:pPr>
      <w:rPr>
        <w:rFonts w:ascii="Times New Roman" w:hAnsi="Times New Roman" w:eastAsiaTheme="minorEastAsia"/>
        <w:b/>
        <w:sz w:val="24"/>
      </w:rPr>
      <w:tcPr>
        <w:shd w:val="clear" w:color="auto" w:fill="D8D8D8" w:themeFill="background1" w:themeFillShade="D9"/>
      </w:tcPr>
    </w:tblStylePr>
  </w:style>
  <w:style w:type="paragraph" w:customStyle="1" w:styleId="15">
    <w:name w:val="table"/>
    <w:basedOn w:val="1"/>
    <w:qFormat/>
    <w:uiPriority w:val="0"/>
    <w:pPr>
      <w:widowControl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仿宋体" w:eastAsia="仿宋体"/>
      <w:kern w:val="0"/>
      <w:sz w:val="24"/>
      <w:szCs w:val="20"/>
    </w:rPr>
  </w:style>
  <w:style w:type="character" w:customStyle="1" w:styleId="16">
    <w:name w:val="标题 1 字符"/>
    <w:basedOn w:val="14"/>
    <w:link w:val="3"/>
    <w:qFormat/>
    <w:uiPriority w:val="9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paragraph" w:styleId="17">
    <w:name w:val="List Paragraph"/>
    <w:basedOn w:val="1"/>
    <w:link w:val="25"/>
    <w:qFormat/>
    <w:uiPriority w:val="34"/>
    <w:pPr>
      <w:ind w:firstLine="420" w:firstLineChars="200"/>
    </w:p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LKHHE B+ Palatino" w:hAnsi="Times New Roman" w:eastAsia="LKHHE B+ Palatino" w:cs="LKHHE B+ Palatino"/>
      <w:color w:val="000000"/>
      <w:sz w:val="24"/>
      <w:szCs w:val="24"/>
      <w:lang w:val="en-US" w:eastAsia="zh-CN" w:bidi="ar-SA"/>
    </w:rPr>
  </w:style>
  <w:style w:type="paragraph" w:customStyle="1" w:styleId="19">
    <w:name w:val="正文360首行缩进"/>
    <w:basedOn w:val="1"/>
    <w:link w:val="20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等线"/>
      <w:kern w:val="0"/>
      <w:szCs w:val="21"/>
    </w:rPr>
  </w:style>
  <w:style w:type="character" w:customStyle="1" w:styleId="20">
    <w:name w:val="正文360首行缩进 Char"/>
    <w:link w:val="19"/>
    <w:qFormat/>
    <w:uiPriority w:val="0"/>
    <w:rPr>
      <w:rFonts w:ascii="Arial" w:hAnsi="Arial" w:eastAsia="等线" w:cs="Times New Roman"/>
      <w:kern w:val="0"/>
      <w:sz w:val="21"/>
      <w:szCs w:val="21"/>
    </w:rPr>
  </w:style>
  <w:style w:type="character" w:customStyle="1" w:styleId="21">
    <w:name w:val="标题 2 字符"/>
    <w:basedOn w:val="14"/>
    <w:link w:val="4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22">
    <w:name w:val="正文-奇安信"/>
    <w:basedOn w:val="1"/>
    <w:qFormat/>
    <w:uiPriority w:val="0"/>
    <w:pPr>
      <w:ind w:firstLine="420"/>
    </w:pPr>
    <w:rPr>
      <w:rFonts w:eastAsia="仿宋"/>
      <w:sz w:val="24"/>
      <w:szCs w:val="20"/>
    </w:rPr>
  </w:style>
  <w:style w:type="paragraph" w:customStyle="1" w:styleId="23">
    <w:name w:val="Table Paragraph"/>
    <w:basedOn w:val="1"/>
    <w:qFormat/>
    <w:uiPriority w:val="1"/>
    <w:rPr>
      <w:rFonts w:ascii="新宋体" w:hAnsi="新宋体" w:eastAsia="新宋体" w:cs="新宋体"/>
      <w:lang w:val="zh-CN" w:bidi="zh-CN"/>
    </w:rPr>
  </w:style>
  <w:style w:type="character" w:customStyle="1" w:styleId="24">
    <w:name w:val="正文缩进 字符"/>
    <w:link w:val="7"/>
    <w:qFormat/>
    <w:locked/>
    <w:uiPriority w:val="99"/>
    <w:rPr>
      <w:rFonts w:ascii="Calibri" w:hAnsi="Calibri"/>
      <w:kern w:val="2"/>
      <w:sz w:val="21"/>
      <w:szCs w:val="24"/>
    </w:rPr>
  </w:style>
  <w:style w:type="character" w:customStyle="1" w:styleId="25">
    <w:name w:val="列表段落 字符"/>
    <w:link w:val="17"/>
    <w:qFormat/>
    <w:uiPriority w:val="34"/>
    <w:rPr>
      <w:kern w:val="2"/>
      <w:sz w:val="21"/>
      <w:szCs w:val="24"/>
    </w:rPr>
  </w:style>
  <w:style w:type="character" w:customStyle="1" w:styleId="26">
    <w:name w:val="批注框文本 字符"/>
    <w:basedOn w:val="14"/>
    <w:link w:val="8"/>
    <w:semiHidden/>
    <w:qFormat/>
    <w:uiPriority w:val="99"/>
    <w:rPr>
      <w:kern w:val="2"/>
      <w:sz w:val="18"/>
      <w:szCs w:val="18"/>
    </w:rPr>
  </w:style>
  <w:style w:type="paragraph" w:customStyle="1" w:styleId="27">
    <w:name w:val="shortdesc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8">
    <w:name w:val="ph"/>
    <w:basedOn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1680</Words>
  <Characters>1774</Characters>
  <Lines>14</Lines>
  <Paragraphs>4</Paragraphs>
  <TotalTime>3</TotalTime>
  <ScaleCrop>false</ScaleCrop>
  <LinksUpToDate>false</LinksUpToDate>
  <CharactersWithSpaces>1774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2021-09-05T04:16:00Z</dcterms:created>
  <dc:creator>Office365</dc:creator>
  <cp:lastModifiedBy>Administrator</cp:lastModifiedBy>
  <dcterms:modified xsi:type="dcterms:W3CDTF">2026-02-10T01:52:40Z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5B77E7CEEC58BC6AFAE8886BEB80DBEB">
    <vt:lpwstr>otCYQxs9Dbw2bUEn/Soxv9pYAoWsCRIsU8+gIbxzzmNcJN13+qHIPyWmbF9hFzPHyi2m8DLwi54E5OVVM5pJ0yGmgAiYTaR6oYUdYZxdjep6I9xviFUFZ9aTScfBW9OGBuKtCMU8Y2lGnN4iQE0T5LzWjiQWbcL1x52B3J61DiWh4ig5i5ssc8rfPzzNsSSbtAu/vWqouhmc7Zwsa+BNOjwDSZgzJ/UxufYbs/2f/NxAmnq7hvtUSz04n3bVQHE</vt:lpwstr>
  </property>
  <property fmtid="{D5CDD505-2E9C-101B-9397-08002B2CF9AE}" pid="3" name="KSOProductBuildVer">
    <vt:lpwstr>2052-12.1.0.24657</vt:lpwstr>
  </property>
  <property fmtid="{D5CDD505-2E9C-101B-9397-08002B2CF9AE}" pid="4" name="ICV">
    <vt:lpwstr>44CCC08E4FBF43C5B2688493399D2F41_13</vt:lpwstr>
  </property>
  <property fmtid="{D5CDD505-2E9C-101B-9397-08002B2CF9AE}" pid="5" name="KSOTemplateDocerSaveRecord">
    <vt:lpwstr>eyJoZGlkIjoiMTkzZjExOGYwNGViOTFlNjgwM2E2MjIwNjA1ODgxZGUiLCJ1c2VySWQiOiIxMzM3Mjc0MjMxIn0=</vt:lpwstr>
  </property>
</Properties>
</file>