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8D865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一、项目背景</w:t>
      </w:r>
    </w:p>
    <w:p w14:paraId="66226E76">
      <w:pPr>
        <w:spacing w:after="156"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Cs/>
          <w:snapToGrid w:val="0"/>
          <w:kern w:val="0"/>
          <w:szCs w:val="21"/>
        </w:rPr>
        <w:t>随业务发展，现有态势感知平台性能瓶颈，重点业务流量分析不全，存在网络安全监测盲区。为此，需提升流量监测覆盖面，并对现有态势感知平台进行扩容，拟采购1个分析平台节点及1台流量探针。</w:t>
      </w:r>
    </w:p>
    <w:p w14:paraId="2C1AF283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二、</w:t>
      </w:r>
      <w:r>
        <w:rPr>
          <w:rFonts w:hint="eastAsia" w:ascii="宋体" w:hAnsi="宋体" w:eastAsia="宋体"/>
          <w:b/>
          <w:szCs w:val="21"/>
        </w:rPr>
        <w:t>需求</w:t>
      </w:r>
      <w:r>
        <w:rPr>
          <w:rFonts w:ascii="宋体" w:hAnsi="宋体" w:eastAsia="宋体"/>
          <w:b/>
          <w:szCs w:val="21"/>
        </w:rPr>
        <w:t>说明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54"/>
        <w:gridCol w:w="794"/>
        <w:gridCol w:w="5468"/>
      </w:tblGrid>
      <w:tr w14:paraId="01EC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20D661D6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853" w:type="pct"/>
            <w:vAlign w:val="center"/>
          </w:tcPr>
          <w:p w14:paraId="5B7404D7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设备名称</w:t>
            </w:r>
          </w:p>
        </w:tc>
        <w:tc>
          <w:tcPr>
            <w:tcW w:w="466" w:type="pct"/>
            <w:vAlign w:val="center"/>
          </w:tcPr>
          <w:p w14:paraId="0CEA8B7E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3209" w:type="pct"/>
            <w:vAlign w:val="center"/>
          </w:tcPr>
          <w:p w14:paraId="1CF61D05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详细要求</w:t>
            </w:r>
          </w:p>
        </w:tc>
      </w:tr>
      <w:tr w14:paraId="271F9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tcBorders>
              <w:bottom w:val="single" w:color="auto" w:sz="4" w:space="0"/>
            </w:tcBorders>
            <w:vAlign w:val="center"/>
          </w:tcPr>
          <w:p w14:paraId="596E4893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53" w:type="pct"/>
            <w:vAlign w:val="center"/>
          </w:tcPr>
          <w:p w14:paraId="76E3051F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态势感知分析平台</w:t>
            </w:r>
          </w:p>
        </w:tc>
        <w:tc>
          <w:tcPr>
            <w:tcW w:w="466" w:type="pct"/>
            <w:vAlign w:val="center"/>
          </w:tcPr>
          <w:p w14:paraId="7E485F4F">
            <w:pPr>
              <w:pStyle w:val="2"/>
              <w:spacing w:after="156"/>
              <w:ind w:firstLine="0" w:firstLineChars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1个</w:t>
            </w:r>
          </w:p>
        </w:tc>
        <w:tc>
          <w:tcPr>
            <w:tcW w:w="3209" w:type="pct"/>
            <w:tcBorders>
              <w:bottom w:val="single" w:color="auto" w:sz="4" w:space="0"/>
            </w:tcBorders>
            <w:vAlign w:val="center"/>
          </w:tcPr>
          <w:p w14:paraId="42EA65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软硬件一体设备，平台节点支持分布式部署，以节点的方式进行扩展，能够统一纳入平台管理</w:t>
            </w:r>
            <w:r>
              <w:rPr>
                <w:rFonts w:hint="eastAsia" w:ascii="宋体" w:hAnsi="宋体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具备高级威胁监测、</w:t>
            </w:r>
            <w:r>
              <w:rPr>
                <w:rFonts w:hint="eastAsia" w:ascii="宋体" w:hAnsi="宋体"/>
                <w:szCs w:val="21"/>
              </w:rPr>
              <w:t>异常行为检测、告警处置等</w:t>
            </w:r>
            <w:r>
              <w:rPr>
                <w:rFonts w:ascii="宋体" w:hAnsi="宋体"/>
                <w:szCs w:val="21"/>
              </w:rPr>
              <w:t>功能</w:t>
            </w:r>
            <w:r>
              <w:rPr>
                <w:rFonts w:hint="eastAsia" w:ascii="宋体" w:hAnsi="宋体"/>
                <w:szCs w:val="21"/>
              </w:rPr>
              <w:t>；支持对告警进行深度分析；支持日志关联性分析产生告警；支持威胁情报；</w:t>
            </w:r>
          </w:p>
          <w:p w14:paraId="397D4C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要求最大日志处理速度≥</w:t>
            </w:r>
            <w:r>
              <w:rPr>
                <w:rFonts w:ascii="宋体" w:hAnsi="宋体"/>
                <w:szCs w:val="21"/>
              </w:rPr>
              <w:t>17000EPS，≥2U设备，千兆电口≥4个，SSD硬盘≥960G，SATA硬盘≥48TB，扩展槽位≥1个，冗余电源。</w:t>
            </w:r>
          </w:p>
        </w:tc>
      </w:tr>
      <w:tr w14:paraId="380A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01A95BBA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53" w:type="pct"/>
            <w:vAlign w:val="center"/>
          </w:tcPr>
          <w:p w14:paraId="59309349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态势感知流量探针</w:t>
            </w:r>
          </w:p>
        </w:tc>
        <w:tc>
          <w:tcPr>
            <w:tcW w:w="466" w:type="pct"/>
            <w:vAlign w:val="center"/>
          </w:tcPr>
          <w:p w14:paraId="378F3183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1台</w:t>
            </w:r>
          </w:p>
        </w:tc>
        <w:tc>
          <w:tcPr>
            <w:tcW w:w="3209" w:type="pct"/>
            <w:vAlign w:val="center"/>
          </w:tcPr>
          <w:p w14:paraId="6A5949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软硬一体设备，对网络流量的镜像流量进行采集并还原，还原后的流量日志加密传输给分析平台；拥有威胁情报实时匹配能力，能发现恶意软件、APT事件等威胁。</w:t>
            </w:r>
          </w:p>
          <w:p w14:paraId="0B6B33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要求单探针流量采集能力≥</w:t>
            </w:r>
            <w:r>
              <w:rPr>
                <w:rFonts w:ascii="宋体" w:hAnsi="宋体"/>
                <w:szCs w:val="21"/>
              </w:rPr>
              <w:t>10Gbps（实际处理不低于</w:t>
            </w:r>
            <w:r>
              <w:rPr>
                <w:rFonts w:hint="eastAsia"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Gbps）。</w:t>
            </w:r>
            <w:r>
              <w:rPr>
                <w:rFonts w:hint="eastAsia" w:ascii="宋体" w:hAnsi="宋体"/>
                <w:szCs w:val="21"/>
              </w:rPr>
              <w:t>≥</w:t>
            </w:r>
            <w:r>
              <w:rPr>
                <w:rFonts w:ascii="宋体" w:hAnsi="宋体"/>
                <w:szCs w:val="21"/>
              </w:rPr>
              <w:t>2U设备，千兆电口≥4个，万兆光口≥4个（满配光模），扩展槽位≥1个，SATA硬盘≥8TB，冗余电源，提供高级旁路阻断功能模块。</w:t>
            </w:r>
          </w:p>
        </w:tc>
      </w:tr>
      <w:tr w14:paraId="126A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73" w:type="pct"/>
            <w:vAlign w:val="center"/>
          </w:tcPr>
          <w:p w14:paraId="22E777B7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53" w:type="pct"/>
            <w:vAlign w:val="center"/>
          </w:tcPr>
          <w:p w14:paraId="24E873E9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软硬件维保服务、特征库及威胁情报更新授权</w:t>
            </w:r>
          </w:p>
        </w:tc>
        <w:tc>
          <w:tcPr>
            <w:tcW w:w="466" w:type="pct"/>
            <w:vAlign w:val="center"/>
          </w:tcPr>
          <w:p w14:paraId="04B3869E">
            <w:pPr>
              <w:pStyle w:val="2"/>
              <w:spacing w:after="156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3年</w:t>
            </w:r>
          </w:p>
        </w:tc>
        <w:tc>
          <w:tcPr>
            <w:tcW w:w="3209" w:type="pct"/>
            <w:vAlign w:val="center"/>
          </w:tcPr>
          <w:p w14:paraId="76400E1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jc w:val="left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对本项目采购的软硬件设备（即上述的分析平台节点及流量探针），提供3年的原厂软硬件维保服务、特征规则库及威胁情报授权服务。</w:t>
            </w:r>
          </w:p>
        </w:tc>
      </w:tr>
    </w:tbl>
    <w:p w14:paraId="3CBBF7C1">
      <w:pPr>
        <w:spacing w:after="156"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三、报价要求</w:t>
      </w:r>
    </w:p>
    <w:p w14:paraId="723737A1">
      <w:pPr>
        <w:pStyle w:val="2"/>
        <w:spacing w:after="156"/>
        <w:ind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注：按照下列格式提供报价内容，不得修改表格，如有其他说明请在备注提出。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637"/>
        <w:gridCol w:w="725"/>
        <w:gridCol w:w="713"/>
        <w:gridCol w:w="1316"/>
        <w:gridCol w:w="1309"/>
        <w:gridCol w:w="1100"/>
      </w:tblGrid>
      <w:tr w14:paraId="514F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24" w:type="pct"/>
            <w:shd w:val="clear" w:color="auto" w:fill="auto"/>
            <w:vAlign w:val="center"/>
          </w:tcPr>
          <w:p w14:paraId="12EF3CC8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序号</w:t>
            </w:r>
          </w:p>
        </w:tc>
        <w:tc>
          <w:tcPr>
            <w:tcW w:w="1547" w:type="pct"/>
            <w:shd w:val="clear" w:color="auto" w:fill="auto"/>
            <w:vAlign w:val="center"/>
          </w:tcPr>
          <w:p w14:paraId="7EFB7F8C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需求内容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1592C3A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数量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502650B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单位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67EB24C5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单价</w:t>
            </w:r>
            <w:r>
              <w:rPr>
                <w:rFonts w:hint="eastAsia" w:ascii="宋体" w:hAnsi="宋体" w:eastAsia="宋体"/>
                <w:b/>
                <w:sz w:val="22"/>
              </w:rPr>
              <w:t>（元）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42EE883C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小计（元）</w:t>
            </w:r>
          </w:p>
        </w:tc>
        <w:tc>
          <w:tcPr>
            <w:tcW w:w="645" w:type="pct"/>
            <w:vAlign w:val="center"/>
          </w:tcPr>
          <w:p w14:paraId="53ED4A80">
            <w:pPr>
              <w:pStyle w:val="9"/>
              <w:ind w:firstLine="0" w:firstLineChars="0"/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备注</w:t>
            </w:r>
          </w:p>
        </w:tc>
      </w:tr>
      <w:tr w14:paraId="78A7B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4" w:type="pct"/>
            <w:shd w:val="clear" w:color="auto" w:fill="auto"/>
            <w:vAlign w:val="center"/>
          </w:tcPr>
          <w:p w14:paraId="0295D501">
            <w:pPr>
              <w:pStyle w:val="9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</w:t>
            </w:r>
          </w:p>
        </w:tc>
        <w:tc>
          <w:tcPr>
            <w:tcW w:w="2637" w:type="dxa"/>
            <w:shd w:val="clear" w:color="auto" w:fill="auto"/>
            <w:vAlign w:val="center"/>
          </w:tcPr>
          <w:p w14:paraId="49193F2F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态势感知分析平台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899D447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0718F57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个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4F94FDDB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21DBA123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645" w:type="pct"/>
          </w:tcPr>
          <w:p w14:paraId="01C188BF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51304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4" w:type="pct"/>
            <w:shd w:val="clear" w:color="auto" w:fill="auto"/>
            <w:vAlign w:val="center"/>
          </w:tcPr>
          <w:p w14:paraId="54261410">
            <w:pPr>
              <w:pStyle w:val="9"/>
              <w:ind w:firstLine="0" w:firstLineChars="0"/>
              <w:jc w:val="center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</w:t>
            </w:r>
          </w:p>
        </w:tc>
        <w:tc>
          <w:tcPr>
            <w:tcW w:w="2637" w:type="dxa"/>
            <w:shd w:val="clear" w:color="auto" w:fill="auto"/>
            <w:vAlign w:val="center"/>
          </w:tcPr>
          <w:p w14:paraId="53DC9BC7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态势感知流量探针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15105B2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2C5466CA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台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3CF82727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1702DFDB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645" w:type="pct"/>
          </w:tcPr>
          <w:p w14:paraId="6452A27B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741F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24" w:type="pct"/>
            <w:shd w:val="clear" w:color="auto" w:fill="auto"/>
            <w:vAlign w:val="center"/>
          </w:tcPr>
          <w:p w14:paraId="17E4F1A5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</w:t>
            </w:r>
          </w:p>
        </w:tc>
        <w:tc>
          <w:tcPr>
            <w:tcW w:w="2637" w:type="dxa"/>
            <w:shd w:val="clear" w:color="auto" w:fill="auto"/>
            <w:vAlign w:val="center"/>
          </w:tcPr>
          <w:p w14:paraId="4516FA6B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软硬件维保服务、特征库及威胁情报更新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2"/>
              </w:rPr>
              <w:t>授权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D91AC8C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89529E2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年</w:t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0D74B7B2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768" w:type="pct"/>
            <w:shd w:val="clear" w:color="auto" w:fill="auto"/>
            <w:vAlign w:val="center"/>
          </w:tcPr>
          <w:p w14:paraId="51B7CD0D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645" w:type="pct"/>
            <w:vAlign w:val="center"/>
          </w:tcPr>
          <w:p w14:paraId="13425E11">
            <w:pPr>
              <w:pStyle w:val="9"/>
              <w:ind w:firstLine="0" w:firstLineChars="0"/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7155C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586" w:type="pct"/>
            <w:gridSpan w:val="5"/>
            <w:vAlign w:val="center"/>
          </w:tcPr>
          <w:p w14:paraId="225C141B">
            <w:pPr>
              <w:pStyle w:val="9"/>
              <w:ind w:firstLine="0" w:firstLineChars="0"/>
              <w:jc w:val="right"/>
              <w:rPr>
                <w:rFonts w:ascii="宋体" w:hAnsi="宋体" w:eastAsia="宋体"/>
                <w:b/>
                <w:sz w:val="22"/>
              </w:rPr>
            </w:pPr>
            <w:r>
              <w:rPr>
                <w:rFonts w:ascii="宋体" w:hAnsi="宋体" w:eastAsia="宋体"/>
                <w:b/>
                <w:sz w:val="22"/>
              </w:rPr>
              <w:t>合计</w:t>
            </w:r>
            <w:r>
              <w:rPr>
                <w:rFonts w:hint="eastAsia" w:ascii="宋体" w:hAnsi="宋体" w:eastAsia="宋体"/>
                <w:b/>
                <w:sz w:val="22"/>
              </w:rPr>
              <w:t>: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417C1FAF">
            <w:pPr>
              <w:pStyle w:val="9"/>
              <w:ind w:firstLine="0" w:firstLineChars="0"/>
              <w:rPr>
                <w:rFonts w:ascii="宋体" w:hAnsi="宋体" w:eastAsia="宋体"/>
                <w:b/>
                <w:sz w:val="22"/>
              </w:rPr>
            </w:pPr>
          </w:p>
        </w:tc>
        <w:tc>
          <w:tcPr>
            <w:tcW w:w="645" w:type="pct"/>
          </w:tcPr>
          <w:p w14:paraId="51D8482D">
            <w:pPr>
              <w:pStyle w:val="9"/>
              <w:ind w:firstLine="0" w:firstLineChars="0"/>
              <w:rPr>
                <w:rFonts w:ascii="宋体" w:hAnsi="宋体" w:eastAsia="宋体"/>
                <w:sz w:val="22"/>
              </w:rPr>
            </w:pPr>
          </w:p>
        </w:tc>
      </w:tr>
    </w:tbl>
    <w:p w14:paraId="367FFD3E">
      <w:pPr>
        <w:spacing w:line="360" w:lineRule="auto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11C"/>
    <w:rsid w:val="000E55B6"/>
    <w:rsid w:val="001A2CE8"/>
    <w:rsid w:val="00255072"/>
    <w:rsid w:val="002741AE"/>
    <w:rsid w:val="00275D15"/>
    <w:rsid w:val="00281625"/>
    <w:rsid w:val="00296659"/>
    <w:rsid w:val="00381E94"/>
    <w:rsid w:val="00404CC1"/>
    <w:rsid w:val="00421808"/>
    <w:rsid w:val="0042513B"/>
    <w:rsid w:val="004E0C28"/>
    <w:rsid w:val="0056311C"/>
    <w:rsid w:val="005B3EC0"/>
    <w:rsid w:val="006C04C7"/>
    <w:rsid w:val="006F38B0"/>
    <w:rsid w:val="007D7C96"/>
    <w:rsid w:val="008412B8"/>
    <w:rsid w:val="00844381"/>
    <w:rsid w:val="009119C3"/>
    <w:rsid w:val="00990539"/>
    <w:rsid w:val="0099366E"/>
    <w:rsid w:val="009F2907"/>
    <w:rsid w:val="00AA0A82"/>
    <w:rsid w:val="00AE50AC"/>
    <w:rsid w:val="00BA4D50"/>
    <w:rsid w:val="00BD7B1D"/>
    <w:rsid w:val="00C24F75"/>
    <w:rsid w:val="00C57702"/>
    <w:rsid w:val="00D07ABC"/>
    <w:rsid w:val="00DA17FF"/>
    <w:rsid w:val="00DA595F"/>
    <w:rsid w:val="00DC2079"/>
    <w:rsid w:val="00E070EA"/>
    <w:rsid w:val="00E84B42"/>
    <w:rsid w:val="00ED534C"/>
    <w:rsid w:val="00F07130"/>
    <w:rsid w:val="00F116BB"/>
    <w:rsid w:val="00F716D3"/>
    <w:rsid w:val="014F4893"/>
    <w:rsid w:val="0DD24D1E"/>
    <w:rsid w:val="14414578"/>
    <w:rsid w:val="4CBB278F"/>
    <w:rsid w:val="661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50" w:afterLines="50"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snm_正文"/>
    <w:basedOn w:val="1"/>
    <w:link w:val="10"/>
    <w:qFormat/>
    <w:uiPriority w:val="0"/>
    <w:pPr>
      <w:spacing w:line="360" w:lineRule="auto"/>
      <w:ind w:firstLine="200" w:firstLineChars="200"/>
    </w:pPr>
    <w:rPr>
      <w:rFonts w:ascii="仿宋_GB2312" w:hAnsi="仿宋_GB2312" w:eastAsia="仿宋_GB2312" w:cs="仿宋_GB2312"/>
      <w:sz w:val="28"/>
      <w:szCs w:val="28"/>
    </w:rPr>
  </w:style>
  <w:style w:type="character" w:customStyle="1" w:styleId="10">
    <w:name w:val="snm_正文 Char"/>
    <w:link w:val="9"/>
    <w:uiPriority w:val="0"/>
    <w:rPr>
      <w:rFonts w:ascii="仿宋_GB2312" w:hAnsi="仿宋_GB2312" w:eastAsia="仿宋_GB2312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673</Characters>
  <Lines>47</Lines>
  <Paragraphs>48</Paragraphs>
  <TotalTime>1</TotalTime>
  <ScaleCrop>false</ScaleCrop>
  <LinksUpToDate>false</LinksUpToDate>
  <CharactersWithSpaces>673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2024-03-22T08:35:00Z</dcterms:created>
  <dc:creator>a037514</dc:creator>
  <cp:lastModifiedBy>永连招标刘工</cp:lastModifiedBy>
  <dcterms:modified xsi:type="dcterms:W3CDTF">2025-11-26T09:29:46Z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eyJoZGlkIjoiMzg3YmZmODI3ZDk3YjY1MDdiMjFmZTAzNzkxYjViNjIiLCJ1c2VySWQiOiIxMjc4MzA4NzQ2In0=</vt:lpwstr>
  </property>
  <property fmtid="{D5CDD505-2E9C-101B-9397-08002B2CF9AE}" pid="3" name="KSOProductBuildVer">
    <vt:lpwstr>2052-12.1.0.23542</vt:lpwstr>
  </property>
  <property fmtid="{D5CDD505-2E9C-101B-9397-08002B2CF9AE}" pid="4" name="ICV">
    <vt:lpwstr>8B7B2DB00225402F8F2F38E9842F06C3_12</vt:lpwstr>
  </property>
</Properties>
</file>