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A93C37">
      <w:pPr>
        <w:keepNext w:val="0"/>
        <w:keepLines w:val="0"/>
        <w:pageBreakBefore w:val="0"/>
        <w:widowControl w:val="0"/>
        <w:kinsoku/>
        <w:wordWrap/>
        <w:overflowPunct/>
        <w:topLinePunct w:val="0"/>
        <w:autoSpaceDE/>
        <w:autoSpaceDN/>
        <w:bidi w:val="0"/>
        <w:adjustRightInd/>
        <w:snapToGrid/>
        <w:spacing w:line="360" w:lineRule="auto"/>
        <w:textAlignment w:val="auto"/>
        <w:rPr>
          <w:b/>
          <w:bCs/>
        </w:rPr>
      </w:pPr>
      <w:r>
        <w:rPr>
          <w:rFonts w:hint="eastAsia"/>
          <w:b/>
          <w:bCs/>
          <w:lang w:val="en-US" w:eastAsia="zh-CN"/>
        </w:rPr>
        <w:t>一、</w:t>
      </w:r>
      <w:r>
        <w:rPr>
          <w:rFonts w:hint="eastAsia"/>
          <w:b/>
          <w:bCs/>
        </w:rPr>
        <w:t>设备采购清单</w:t>
      </w:r>
    </w:p>
    <w:tbl>
      <w:tblPr>
        <w:tblStyle w:val="11"/>
        <w:tblW w:w="5000" w:type="pct"/>
        <w:jc w:val="center"/>
        <w:tblLayout w:type="autofit"/>
        <w:tblCellMar>
          <w:top w:w="0" w:type="dxa"/>
          <w:left w:w="108" w:type="dxa"/>
          <w:bottom w:w="0" w:type="dxa"/>
          <w:right w:w="108" w:type="dxa"/>
        </w:tblCellMar>
      </w:tblPr>
      <w:tblGrid>
        <w:gridCol w:w="1231"/>
        <w:gridCol w:w="5466"/>
        <w:gridCol w:w="1819"/>
      </w:tblGrid>
      <w:tr w14:paraId="6D93ECAC">
        <w:tblPrEx>
          <w:tblCellMar>
            <w:top w:w="0" w:type="dxa"/>
            <w:left w:w="108" w:type="dxa"/>
            <w:bottom w:w="0" w:type="dxa"/>
            <w:right w:w="108" w:type="dxa"/>
          </w:tblCellMar>
        </w:tblPrEx>
        <w:trPr>
          <w:trHeight w:val="312" w:hRule="atLeast"/>
          <w:jc w:val="center"/>
        </w:trPr>
        <w:tc>
          <w:tcPr>
            <w:tcW w:w="81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977F4E6">
            <w:pPr>
              <w:jc w:val="center"/>
              <w:rPr>
                <w:rFonts w:ascii="宋体" w:hAnsi="宋体"/>
                <w:szCs w:val="21"/>
              </w:rPr>
            </w:pPr>
            <w:r>
              <w:rPr>
                <w:rFonts w:hint="eastAsia" w:ascii="宋体" w:hAnsi="宋体"/>
                <w:szCs w:val="21"/>
              </w:rPr>
              <w:t>序号</w:t>
            </w:r>
          </w:p>
        </w:tc>
        <w:tc>
          <w:tcPr>
            <w:tcW w:w="3033" w:type="pct"/>
            <w:tcBorders>
              <w:top w:val="single" w:color="auto" w:sz="4" w:space="0"/>
              <w:left w:val="nil"/>
              <w:bottom w:val="single" w:color="auto" w:sz="4" w:space="0"/>
              <w:right w:val="single" w:color="auto" w:sz="4" w:space="0"/>
            </w:tcBorders>
            <w:shd w:val="clear" w:color="auto" w:fill="auto"/>
            <w:noWrap/>
            <w:vAlign w:val="center"/>
          </w:tcPr>
          <w:p w14:paraId="09FB237A">
            <w:pPr>
              <w:jc w:val="center"/>
              <w:rPr>
                <w:rFonts w:ascii="宋体" w:hAnsi="宋体"/>
                <w:szCs w:val="21"/>
              </w:rPr>
            </w:pPr>
            <w:r>
              <w:rPr>
                <w:rFonts w:hint="eastAsia" w:ascii="宋体" w:hAnsi="宋体"/>
                <w:szCs w:val="21"/>
              </w:rPr>
              <w:t>采购内容</w:t>
            </w:r>
          </w:p>
        </w:tc>
        <w:tc>
          <w:tcPr>
            <w:tcW w:w="1156" w:type="pct"/>
            <w:tcBorders>
              <w:top w:val="single" w:color="auto" w:sz="4" w:space="0"/>
              <w:left w:val="nil"/>
              <w:bottom w:val="single" w:color="auto" w:sz="4" w:space="0"/>
              <w:right w:val="single" w:color="auto" w:sz="4" w:space="0"/>
            </w:tcBorders>
            <w:shd w:val="clear" w:color="auto" w:fill="auto"/>
            <w:vAlign w:val="center"/>
          </w:tcPr>
          <w:p w14:paraId="028CC5FB">
            <w:pPr>
              <w:jc w:val="center"/>
              <w:rPr>
                <w:rFonts w:ascii="宋体" w:hAnsi="宋体"/>
                <w:szCs w:val="21"/>
              </w:rPr>
            </w:pPr>
            <w:r>
              <w:rPr>
                <w:rFonts w:hint="eastAsia" w:ascii="宋体" w:hAnsi="宋体"/>
                <w:szCs w:val="21"/>
              </w:rPr>
              <w:t>数量</w:t>
            </w:r>
          </w:p>
        </w:tc>
      </w:tr>
      <w:tr w14:paraId="0447305A">
        <w:tblPrEx>
          <w:tblCellMar>
            <w:top w:w="0" w:type="dxa"/>
            <w:left w:w="108" w:type="dxa"/>
            <w:bottom w:w="0" w:type="dxa"/>
            <w:right w:w="108" w:type="dxa"/>
          </w:tblCellMar>
        </w:tblPrEx>
        <w:trPr>
          <w:trHeight w:val="312" w:hRule="atLeast"/>
          <w:jc w:val="center"/>
        </w:trPr>
        <w:tc>
          <w:tcPr>
            <w:tcW w:w="81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EEB6F0E">
            <w:pPr>
              <w:jc w:val="center"/>
              <w:rPr>
                <w:rFonts w:ascii="宋体" w:hAnsi="宋体"/>
                <w:szCs w:val="21"/>
              </w:rPr>
            </w:pPr>
            <w:r>
              <w:rPr>
                <w:rFonts w:hint="eastAsia" w:ascii="宋体" w:hAnsi="宋体"/>
                <w:szCs w:val="21"/>
              </w:rPr>
              <w:t>1</w:t>
            </w:r>
          </w:p>
        </w:tc>
        <w:tc>
          <w:tcPr>
            <w:tcW w:w="3033" w:type="pct"/>
            <w:tcBorders>
              <w:top w:val="single" w:color="auto" w:sz="4" w:space="0"/>
              <w:left w:val="nil"/>
              <w:bottom w:val="single" w:color="auto" w:sz="4" w:space="0"/>
              <w:right w:val="single" w:color="auto" w:sz="4" w:space="0"/>
            </w:tcBorders>
            <w:shd w:val="clear" w:color="auto" w:fill="auto"/>
            <w:noWrap/>
            <w:vAlign w:val="center"/>
          </w:tcPr>
          <w:p w14:paraId="09106480">
            <w:pPr>
              <w:jc w:val="center"/>
              <w:rPr>
                <w:rFonts w:hint="eastAsia" w:ascii="宋体" w:hAnsi="宋体" w:eastAsia="宋体"/>
                <w:szCs w:val="21"/>
                <w:lang w:eastAsia="zh-CN"/>
              </w:rPr>
            </w:pPr>
            <w:r>
              <w:rPr>
                <w:rFonts w:hint="eastAsia" w:ascii="宋体" w:hAnsi="宋体"/>
                <w:szCs w:val="21"/>
              </w:rPr>
              <w:t>负载均衡设备</w:t>
            </w:r>
            <w:r>
              <w:rPr>
                <w:rFonts w:hint="eastAsia" w:ascii="宋体" w:hAnsi="宋体"/>
                <w:szCs w:val="21"/>
                <w:lang w:eastAsia="zh-CN"/>
              </w:rPr>
              <w:t>（</w:t>
            </w:r>
            <w:r>
              <w:rPr>
                <w:rFonts w:hint="eastAsia" w:ascii="宋体" w:hAnsi="宋体"/>
                <w:szCs w:val="21"/>
                <w:lang w:val="en-US" w:eastAsia="zh-CN"/>
              </w:rPr>
              <w:t>配套相关线材，模块，以及工程实施等</w:t>
            </w:r>
            <w:r>
              <w:rPr>
                <w:rFonts w:hint="eastAsia" w:ascii="宋体" w:hAnsi="宋体"/>
                <w:szCs w:val="21"/>
                <w:lang w:eastAsia="zh-CN"/>
              </w:rPr>
              <w:t>）</w:t>
            </w:r>
          </w:p>
        </w:tc>
        <w:tc>
          <w:tcPr>
            <w:tcW w:w="1156" w:type="pct"/>
            <w:tcBorders>
              <w:top w:val="single" w:color="auto" w:sz="4" w:space="0"/>
              <w:left w:val="nil"/>
              <w:bottom w:val="single" w:color="auto" w:sz="4" w:space="0"/>
              <w:right w:val="single" w:color="auto" w:sz="4" w:space="0"/>
            </w:tcBorders>
            <w:shd w:val="clear" w:color="auto" w:fill="auto"/>
            <w:vAlign w:val="center"/>
          </w:tcPr>
          <w:p w14:paraId="54EC3201">
            <w:pPr>
              <w:jc w:val="center"/>
              <w:rPr>
                <w:rFonts w:ascii="宋体" w:hAnsi="宋体"/>
                <w:szCs w:val="21"/>
              </w:rPr>
            </w:pPr>
            <w:r>
              <w:rPr>
                <w:rFonts w:hint="eastAsia" w:ascii="宋体" w:hAnsi="宋体"/>
                <w:szCs w:val="21"/>
              </w:rPr>
              <w:t>2台</w:t>
            </w:r>
          </w:p>
        </w:tc>
      </w:tr>
    </w:tbl>
    <w:p w14:paraId="3A1693F5">
      <w:pPr>
        <w:pStyle w:val="2"/>
        <w:ind w:left="0" w:leftChars="0"/>
        <w:rPr>
          <w:rFonts w:ascii="宋体" w:hAnsi="宋体"/>
          <w:szCs w:val="21"/>
        </w:rPr>
      </w:pPr>
    </w:p>
    <w:p w14:paraId="0F36FE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lang w:val="en-US" w:eastAsia="zh-CN"/>
        </w:rPr>
      </w:pPr>
      <w:r>
        <w:rPr>
          <w:rFonts w:hint="eastAsia"/>
          <w:b/>
          <w:bCs/>
          <w:lang w:val="en-US" w:eastAsia="zh-CN"/>
        </w:rPr>
        <w:t>二、单台设备功能参数</w:t>
      </w:r>
    </w:p>
    <w:tbl>
      <w:tblPr>
        <w:tblStyle w:val="11"/>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34"/>
        <w:gridCol w:w="6482"/>
      </w:tblGrid>
      <w:tr w14:paraId="2A55A5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4BD75F3E">
            <w:pPr>
              <w:widowControl/>
              <w:jc w:val="center"/>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功能及技术指标</w:t>
            </w:r>
          </w:p>
        </w:tc>
        <w:tc>
          <w:tcPr>
            <w:tcW w:w="3805" w:type="pct"/>
            <w:tcBorders>
              <w:top w:val="single" w:color="000000" w:sz="4" w:space="0"/>
              <w:left w:val="nil"/>
              <w:bottom w:val="single" w:color="000000" w:sz="4" w:space="0"/>
              <w:right w:val="single" w:color="000000" w:sz="4" w:space="0"/>
            </w:tcBorders>
            <w:vAlign w:val="center"/>
          </w:tcPr>
          <w:p w14:paraId="206DAB69">
            <w:pPr>
              <w:widowControl/>
              <w:jc w:val="center"/>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详细技术参数</w:t>
            </w:r>
          </w:p>
        </w:tc>
      </w:tr>
      <w:tr w14:paraId="703DC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32B9F3FE">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集群构架</w:t>
            </w:r>
          </w:p>
        </w:tc>
        <w:tc>
          <w:tcPr>
            <w:tcW w:w="3805" w:type="pct"/>
            <w:tcBorders>
              <w:top w:val="single" w:color="000000" w:sz="4" w:space="0"/>
              <w:left w:val="nil"/>
              <w:bottom w:val="single" w:color="000000" w:sz="4" w:space="0"/>
              <w:right w:val="single" w:color="000000" w:sz="4" w:space="0"/>
            </w:tcBorders>
            <w:vAlign w:val="center"/>
          </w:tcPr>
          <w:p w14:paraId="22D2135E">
            <w:pPr>
              <w:widowControl/>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支持</w:t>
            </w:r>
            <w:r>
              <w:rPr>
                <w:rFonts w:hint="eastAsia" w:ascii="宋体" w:hAnsi="宋体" w:eastAsia="宋体" w:cs="宋体"/>
                <w:color w:val="000000"/>
                <w:sz w:val="21"/>
                <w:szCs w:val="21"/>
              </w:rPr>
              <w:t>Active-Active</w:t>
            </w:r>
            <w:r>
              <w:rPr>
                <w:rFonts w:hint="eastAsia" w:ascii="宋体" w:hAnsi="宋体" w:eastAsia="宋体" w:cs="宋体"/>
                <w:color w:val="000000"/>
                <w:kern w:val="0"/>
                <w:sz w:val="21"/>
                <w:szCs w:val="21"/>
              </w:rPr>
              <w:t>模式</w:t>
            </w:r>
            <w:r>
              <w:rPr>
                <w:rFonts w:hint="eastAsia" w:ascii="宋体" w:hAnsi="宋体" w:eastAsia="宋体" w:cs="宋体"/>
                <w:color w:val="000000"/>
                <w:sz w:val="21"/>
                <w:szCs w:val="21"/>
              </w:rPr>
              <w:t>、Active-Standby</w:t>
            </w:r>
            <w:r>
              <w:rPr>
                <w:rFonts w:hint="eastAsia" w:ascii="宋体" w:hAnsi="宋体" w:eastAsia="宋体" w:cs="宋体"/>
                <w:color w:val="000000"/>
                <w:kern w:val="0"/>
                <w:sz w:val="21"/>
                <w:szCs w:val="21"/>
              </w:rPr>
              <w:t>模式、M+N模式等多种</w:t>
            </w:r>
            <w:r>
              <w:rPr>
                <w:rFonts w:hint="eastAsia" w:ascii="宋体" w:hAnsi="宋体" w:eastAsia="宋体" w:cs="宋体"/>
                <w:color w:val="000000"/>
                <w:sz w:val="21"/>
                <w:szCs w:val="21"/>
              </w:rPr>
              <w:t>集群模式</w:t>
            </w:r>
          </w:p>
        </w:tc>
      </w:tr>
      <w:tr w14:paraId="3B13D1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6E24F725">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板卡物理接口</w:t>
            </w:r>
          </w:p>
        </w:tc>
        <w:tc>
          <w:tcPr>
            <w:tcW w:w="3805" w:type="pct"/>
            <w:tcBorders>
              <w:top w:val="single" w:color="000000" w:sz="4" w:space="0"/>
              <w:left w:val="nil"/>
              <w:bottom w:val="single" w:color="000000" w:sz="4" w:space="0"/>
              <w:right w:val="single" w:color="000000" w:sz="4" w:space="0"/>
            </w:tcBorders>
            <w:vAlign w:val="center"/>
          </w:tcPr>
          <w:p w14:paraId="1B2A2681">
            <w:pPr>
              <w:widowControl/>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每台设备至少配置2个40G QSFP+接口或8个10G SFP+接口，并配备相应的光模块和相关线材。</w:t>
            </w:r>
          </w:p>
        </w:tc>
      </w:tr>
      <w:tr w14:paraId="5A741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024F2213">
            <w:pPr>
              <w:widowControl/>
              <w:jc w:val="center"/>
              <w:rPr>
                <w:rFonts w:hint="eastAsia" w:ascii="宋体" w:hAnsi="宋体" w:eastAsia="宋体" w:cs="宋体"/>
                <w:color w:val="000000"/>
                <w:kern w:val="0"/>
                <w:sz w:val="21"/>
                <w:szCs w:val="21"/>
              </w:rPr>
            </w:pPr>
            <w:r>
              <w:rPr>
                <w:rFonts w:hint="eastAsia" w:ascii="宋体" w:hAnsi="宋体" w:eastAsia="宋体" w:cs="宋体"/>
                <w:color w:val="000000"/>
                <w:sz w:val="21"/>
                <w:szCs w:val="21"/>
              </w:rPr>
              <w:t>冗余</w:t>
            </w:r>
            <w:r>
              <w:rPr>
                <w:rFonts w:hint="eastAsia" w:ascii="宋体" w:hAnsi="宋体" w:eastAsia="宋体" w:cs="宋体"/>
                <w:color w:val="000000"/>
                <w:kern w:val="0"/>
                <w:sz w:val="21"/>
                <w:szCs w:val="21"/>
              </w:rPr>
              <w:t>电源</w:t>
            </w:r>
          </w:p>
        </w:tc>
        <w:tc>
          <w:tcPr>
            <w:tcW w:w="3805" w:type="pct"/>
            <w:tcBorders>
              <w:top w:val="single" w:color="000000" w:sz="4" w:space="0"/>
              <w:left w:val="nil"/>
              <w:bottom w:val="single" w:color="000000" w:sz="4" w:space="0"/>
              <w:right w:val="single" w:color="000000" w:sz="4" w:space="0"/>
            </w:tcBorders>
            <w:vAlign w:val="center"/>
          </w:tcPr>
          <w:p w14:paraId="30DAF19E">
            <w:pPr>
              <w:widowControl/>
              <w:rPr>
                <w:rFonts w:hint="eastAsia" w:ascii="宋体" w:hAnsi="宋体" w:eastAsia="宋体" w:cs="宋体"/>
                <w:color w:val="000000"/>
                <w:kern w:val="0"/>
                <w:sz w:val="21"/>
                <w:szCs w:val="21"/>
              </w:rPr>
            </w:pPr>
            <w:r>
              <w:rPr>
                <w:rFonts w:hint="eastAsia" w:ascii="宋体" w:hAnsi="宋体" w:eastAsia="宋体" w:cs="宋体"/>
                <w:color w:val="000000"/>
                <w:sz w:val="21"/>
                <w:szCs w:val="21"/>
              </w:rPr>
              <w:t>实配冗余双电源</w:t>
            </w:r>
          </w:p>
        </w:tc>
      </w:tr>
      <w:tr w14:paraId="2B82D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18C544F4">
            <w:pPr>
              <w:widowControl/>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sz w:val="21"/>
                <w:szCs w:val="21"/>
              </w:rPr>
              <w:t>冗余</w:t>
            </w:r>
            <w:r>
              <w:rPr>
                <w:rFonts w:hint="eastAsia" w:ascii="宋体" w:hAnsi="宋体" w:eastAsia="宋体" w:cs="宋体"/>
                <w:color w:val="000000"/>
                <w:kern w:val="0"/>
                <w:sz w:val="21"/>
                <w:szCs w:val="21"/>
                <w:lang w:val="en-US" w:eastAsia="zh-CN"/>
              </w:rPr>
              <w:t>风扇</w:t>
            </w:r>
          </w:p>
        </w:tc>
        <w:tc>
          <w:tcPr>
            <w:tcW w:w="3805" w:type="pct"/>
            <w:tcBorders>
              <w:top w:val="single" w:color="000000" w:sz="4" w:space="0"/>
              <w:left w:val="nil"/>
              <w:bottom w:val="single" w:color="000000" w:sz="4" w:space="0"/>
              <w:right w:val="single" w:color="000000" w:sz="4" w:space="0"/>
            </w:tcBorders>
            <w:vAlign w:val="center"/>
          </w:tcPr>
          <w:p w14:paraId="0B1CB3B7">
            <w:pPr>
              <w:widowControl/>
              <w:rPr>
                <w:rFonts w:hint="eastAsia" w:ascii="宋体" w:hAnsi="宋体" w:eastAsia="宋体" w:cs="宋体"/>
                <w:color w:val="000000"/>
                <w:kern w:val="0"/>
                <w:sz w:val="21"/>
                <w:szCs w:val="21"/>
              </w:rPr>
            </w:pPr>
            <w:r>
              <w:rPr>
                <w:rFonts w:hint="eastAsia" w:ascii="宋体" w:hAnsi="宋体" w:eastAsia="宋体" w:cs="宋体"/>
                <w:color w:val="000000"/>
                <w:sz w:val="21"/>
                <w:szCs w:val="21"/>
              </w:rPr>
              <w:t>实配冗余</w:t>
            </w:r>
            <w:r>
              <w:rPr>
                <w:rFonts w:hint="eastAsia" w:ascii="宋体" w:hAnsi="宋体" w:eastAsia="宋体" w:cs="宋体"/>
                <w:color w:val="000000"/>
                <w:kern w:val="0"/>
                <w:sz w:val="21"/>
                <w:szCs w:val="21"/>
                <w:lang w:val="en-US" w:eastAsia="zh-CN"/>
              </w:rPr>
              <w:t>风扇</w:t>
            </w:r>
          </w:p>
        </w:tc>
      </w:tr>
      <w:tr w14:paraId="4B0A98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326A2EA3">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最大并发会话数</w:t>
            </w:r>
          </w:p>
        </w:tc>
        <w:tc>
          <w:tcPr>
            <w:tcW w:w="3805" w:type="pct"/>
            <w:tcBorders>
              <w:top w:val="single" w:color="000000" w:sz="4" w:space="0"/>
              <w:left w:val="nil"/>
              <w:bottom w:val="single" w:color="000000" w:sz="4" w:space="0"/>
              <w:right w:val="single" w:color="000000" w:sz="4" w:space="0"/>
            </w:tcBorders>
            <w:vAlign w:val="center"/>
          </w:tcPr>
          <w:p w14:paraId="2E8BFA35">
            <w:pPr>
              <w:widowControl/>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不低于70M</w:t>
            </w:r>
          </w:p>
        </w:tc>
      </w:tr>
      <w:tr w14:paraId="704E91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708FDB05">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L7</w:t>
            </w:r>
            <w:r>
              <w:rPr>
                <w:rFonts w:hint="eastAsia" w:ascii="宋体" w:hAnsi="宋体" w:eastAsia="宋体" w:cs="宋体"/>
                <w:color w:val="000000"/>
                <w:kern w:val="0"/>
                <w:sz w:val="21"/>
                <w:szCs w:val="21"/>
              </w:rPr>
              <w:t>吞吐量</w:t>
            </w:r>
          </w:p>
        </w:tc>
        <w:tc>
          <w:tcPr>
            <w:tcW w:w="3805" w:type="pct"/>
            <w:tcBorders>
              <w:top w:val="single" w:color="000000" w:sz="4" w:space="0"/>
              <w:left w:val="nil"/>
              <w:bottom w:val="single" w:color="000000" w:sz="4" w:space="0"/>
              <w:right w:val="single" w:color="000000" w:sz="4" w:space="0"/>
            </w:tcBorders>
            <w:vAlign w:val="center"/>
          </w:tcPr>
          <w:p w14:paraId="59D2352B">
            <w:pPr>
              <w:widowControl/>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不低于5</w:t>
            </w:r>
            <w:r>
              <w:rPr>
                <w:rFonts w:hint="eastAsia" w:ascii="宋体" w:hAnsi="宋体" w:eastAsia="宋体" w:cs="宋体"/>
                <w:color w:val="000000"/>
                <w:kern w:val="0"/>
                <w:sz w:val="21"/>
                <w:szCs w:val="21"/>
                <w:lang w:val="en-US" w:eastAsia="zh-CN"/>
              </w:rPr>
              <w:t>0</w:t>
            </w:r>
            <w:r>
              <w:rPr>
                <w:rFonts w:hint="eastAsia" w:ascii="宋体" w:hAnsi="宋体" w:eastAsia="宋体" w:cs="宋体"/>
                <w:color w:val="000000"/>
                <w:kern w:val="0"/>
                <w:sz w:val="21"/>
                <w:szCs w:val="21"/>
              </w:rPr>
              <w:t>Gbps</w:t>
            </w:r>
          </w:p>
        </w:tc>
      </w:tr>
      <w:tr w14:paraId="05CDF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8"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11275444">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L7每秒连接数</w:t>
            </w:r>
          </w:p>
        </w:tc>
        <w:tc>
          <w:tcPr>
            <w:tcW w:w="3805" w:type="pct"/>
            <w:tcBorders>
              <w:top w:val="single" w:color="000000" w:sz="4" w:space="0"/>
              <w:left w:val="nil"/>
              <w:bottom w:val="single" w:color="000000" w:sz="4" w:space="0"/>
              <w:right w:val="single" w:color="000000" w:sz="4" w:space="0"/>
            </w:tcBorders>
            <w:vAlign w:val="center"/>
          </w:tcPr>
          <w:p w14:paraId="2CD86CAD">
            <w:pPr>
              <w:widowControl/>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不低于2M RPS</w:t>
            </w:r>
          </w:p>
        </w:tc>
      </w:tr>
      <w:tr w14:paraId="495E58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8"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497B206E">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L4 每秒新建连接数</w:t>
            </w:r>
          </w:p>
        </w:tc>
        <w:tc>
          <w:tcPr>
            <w:tcW w:w="3805" w:type="pct"/>
            <w:tcBorders>
              <w:top w:val="single" w:color="000000" w:sz="4" w:space="0"/>
              <w:left w:val="nil"/>
              <w:bottom w:val="single" w:color="000000" w:sz="4" w:space="0"/>
              <w:right w:val="single" w:color="000000" w:sz="4" w:space="0"/>
            </w:tcBorders>
            <w:vAlign w:val="center"/>
          </w:tcPr>
          <w:p w14:paraId="139800AB">
            <w:pPr>
              <w:widowControl/>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不低于1M</w:t>
            </w:r>
          </w:p>
        </w:tc>
      </w:tr>
      <w:tr w14:paraId="07C31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3"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16186B75">
            <w:pPr>
              <w:widowControl/>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每秒SSL交易数</w:t>
            </w:r>
            <w:r>
              <w:rPr>
                <w:rFonts w:hint="eastAsia" w:ascii="宋体" w:hAnsi="宋体" w:eastAsia="宋体" w:cs="宋体"/>
                <w:color w:val="000000"/>
                <w:kern w:val="0"/>
                <w:sz w:val="21"/>
                <w:szCs w:val="21"/>
                <w:lang w:val="en-US" w:eastAsia="zh-CN"/>
              </w:rPr>
              <w:br w:type="textWrapping"/>
            </w:r>
            <w:r>
              <w:rPr>
                <w:rFonts w:hint="eastAsia" w:ascii="宋体" w:hAnsi="宋体" w:eastAsia="宋体" w:cs="宋体"/>
                <w:color w:val="000000"/>
                <w:kern w:val="0"/>
                <w:sz w:val="21"/>
                <w:szCs w:val="21"/>
                <w:lang w:val="en-US" w:eastAsia="zh-CN"/>
              </w:rPr>
              <w:t>（ECDHE）</w:t>
            </w:r>
          </w:p>
        </w:tc>
        <w:tc>
          <w:tcPr>
            <w:tcW w:w="3805" w:type="pct"/>
            <w:tcBorders>
              <w:top w:val="single" w:color="000000" w:sz="4" w:space="0"/>
              <w:left w:val="nil"/>
              <w:bottom w:val="single" w:color="000000" w:sz="4" w:space="0"/>
              <w:right w:val="single" w:color="000000" w:sz="4" w:space="0"/>
            </w:tcBorders>
            <w:vAlign w:val="center"/>
          </w:tcPr>
          <w:p w14:paraId="059D43F3">
            <w:pPr>
              <w:widowControl/>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不低于30K TPS</w:t>
            </w:r>
          </w:p>
        </w:tc>
      </w:tr>
      <w:tr w14:paraId="23028A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3"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3EBF1CCC">
            <w:pPr>
              <w:widowControl/>
              <w:jc w:val="center"/>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lang w:val="en-US" w:eastAsia="zh-CN"/>
              </w:rPr>
              <w:t>支持IPv6</w:t>
            </w:r>
          </w:p>
        </w:tc>
        <w:tc>
          <w:tcPr>
            <w:tcW w:w="3805" w:type="pct"/>
            <w:tcBorders>
              <w:top w:val="single" w:color="000000" w:sz="4" w:space="0"/>
              <w:left w:val="nil"/>
              <w:bottom w:val="single" w:color="000000" w:sz="4" w:space="0"/>
              <w:right w:val="single" w:color="000000" w:sz="4" w:space="0"/>
            </w:tcBorders>
            <w:vAlign w:val="center"/>
          </w:tcPr>
          <w:p w14:paraId="70C89A33">
            <w:pPr>
              <w:widowControl/>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支持IPv6，支持IPv6转IPv4，支持IPv6转IPv6，支持IPv4转IPv6</w:t>
            </w:r>
          </w:p>
        </w:tc>
      </w:tr>
      <w:tr w14:paraId="2C4E6A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3"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1F5ABE9D">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bidi="ar"/>
              </w:rPr>
              <w:t>TCP源地址透传</w:t>
            </w:r>
          </w:p>
        </w:tc>
        <w:tc>
          <w:tcPr>
            <w:tcW w:w="3805" w:type="pct"/>
            <w:tcBorders>
              <w:top w:val="single" w:color="000000" w:sz="4" w:space="0"/>
              <w:left w:val="nil"/>
              <w:bottom w:val="single" w:color="000000" w:sz="4" w:space="0"/>
              <w:right w:val="single" w:color="000000" w:sz="4" w:space="0"/>
            </w:tcBorders>
            <w:vAlign w:val="center"/>
          </w:tcPr>
          <w:p w14:paraId="777F06F5">
            <w:pP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bidi="ar"/>
              </w:rPr>
              <w:t>支持将用户的真实地址插入到TCP包中，以便后台服务器获取客户端源地址。</w:t>
            </w:r>
          </w:p>
        </w:tc>
      </w:tr>
      <w:tr w14:paraId="5C837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3"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4371DDF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负载均衡功能</w:t>
            </w:r>
          </w:p>
        </w:tc>
        <w:tc>
          <w:tcPr>
            <w:tcW w:w="3805" w:type="pct"/>
            <w:tcBorders>
              <w:top w:val="single" w:color="000000" w:sz="4" w:space="0"/>
              <w:left w:val="nil"/>
              <w:bottom w:val="single" w:color="000000" w:sz="4" w:space="0"/>
              <w:right w:val="single" w:color="000000" w:sz="4" w:space="0"/>
            </w:tcBorders>
            <w:vAlign w:val="center"/>
          </w:tcPr>
          <w:p w14:paraId="025D9E02">
            <w:pPr>
              <w:widowControl/>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可为业务系统提供负载均衡，支持最小连接、轮询、比率等多种负载均衡算法，支持HTTP、TCP、UDP、FTP等常用协议的负载均衡能力。</w:t>
            </w:r>
          </w:p>
        </w:tc>
      </w:tr>
      <w:tr w14:paraId="1D150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39CEF53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服务器健康检查方法</w:t>
            </w:r>
          </w:p>
        </w:tc>
        <w:tc>
          <w:tcPr>
            <w:tcW w:w="3805" w:type="pct"/>
            <w:tcBorders>
              <w:top w:val="single" w:color="000000" w:sz="4" w:space="0"/>
              <w:left w:val="nil"/>
              <w:bottom w:val="single" w:color="000000" w:sz="4" w:space="0"/>
              <w:right w:val="single" w:color="000000" w:sz="4" w:space="0"/>
            </w:tcBorders>
            <w:vAlign w:val="center"/>
          </w:tcPr>
          <w:p w14:paraId="53A286AA">
            <w:pPr>
              <w:widowControl/>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基于UDP，HTTP，FTP，TCP、自定义等方式。</w:t>
            </w:r>
          </w:p>
        </w:tc>
      </w:tr>
      <w:tr w14:paraId="44D93E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54E63C18">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网络层DDOS防护</w:t>
            </w:r>
          </w:p>
        </w:tc>
        <w:tc>
          <w:tcPr>
            <w:tcW w:w="3805" w:type="pct"/>
            <w:tcBorders>
              <w:top w:val="single" w:color="000000" w:sz="4" w:space="0"/>
              <w:left w:val="nil"/>
              <w:bottom w:val="single" w:color="000000" w:sz="4" w:space="0"/>
              <w:right w:val="single" w:color="000000" w:sz="4" w:space="0"/>
            </w:tcBorders>
            <w:vAlign w:val="center"/>
          </w:tcPr>
          <w:p w14:paraId="48624F22">
            <w:pP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可防御Syn Flood、ACK Flood、TCP Flood等网络层DDOS攻击</w:t>
            </w:r>
          </w:p>
        </w:tc>
      </w:tr>
      <w:tr w14:paraId="6AD7F2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6CCC690C">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每秒Syn防护</w:t>
            </w:r>
          </w:p>
        </w:tc>
        <w:tc>
          <w:tcPr>
            <w:tcW w:w="3805" w:type="pct"/>
            <w:tcBorders>
              <w:top w:val="single" w:color="000000" w:sz="4" w:space="0"/>
              <w:left w:val="nil"/>
              <w:bottom w:val="single" w:color="000000" w:sz="4" w:space="0"/>
              <w:right w:val="single" w:color="000000" w:sz="4" w:space="0"/>
            </w:tcBorders>
            <w:vAlign w:val="center"/>
          </w:tcPr>
          <w:p w14:paraId="3DEABA10">
            <w:pP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不低于80M</w:t>
            </w:r>
          </w:p>
        </w:tc>
      </w:tr>
      <w:tr w14:paraId="63BB7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25566DA0">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bidi="ar"/>
              </w:rPr>
              <w:t>日志转发</w:t>
            </w:r>
          </w:p>
        </w:tc>
        <w:tc>
          <w:tcPr>
            <w:tcW w:w="3805" w:type="pct"/>
            <w:tcBorders>
              <w:top w:val="single" w:color="000000" w:sz="4" w:space="0"/>
              <w:left w:val="nil"/>
              <w:bottom w:val="single" w:color="000000" w:sz="4" w:space="0"/>
              <w:right w:val="single" w:color="000000" w:sz="4" w:space="0"/>
            </w:tcBorders>
            <w:vAlign w:val="center"/>
          </w:tcPr>
          <w:p w14:paraId="2DE28A31">
            <w:pP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bidi="ar"/>
              </w:rPr>
              <w:t>支持通过将用户请求的日志进行格式化并转发给到</w:t>
            </w:r>
            <w:r>
              <w:rPr>
                <w:rFonts w:hint="eastAsia" w:ascii="宋体" w:hAnsi="宋体" w:eastAsia="宋体" w:cs="宋体"/>
                <w:color w:val="000000"/>
                <w:sz w:val="21"/>
                <w:szCs w:val="21"/>
                <w:lang w:bidi="ar"/>
              </w:rPr>
              <w:t>对接大数据分析平台，实现业务数据的可视化，从而提供用户/网络体验监控，用户行为分析，应用性能管理等能力。</w:t>
            </w:r>
          </w:p>
        </w:tc>
      </w:tr>
      <w:tr w14:paraId="33F87A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02A483B3">
            <w:pPr>
              <w:jc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微服务发现</w:t>
            </w:r>
          </w:p>
        </w:tc>
        <w:tc>
          <w:tcPr>
            <w:tcW w:w="3805" w:type="pct"/>
            <w:tcBorders>
              <w:top w:val="single" w:color="000000" w:sz="4" w:space="0"/>
              <w:left w:val="nil"/>
              <w:bottom w:val="single" w:color="000000" w:sz="4" w:space="0"/>
              <w:right w:val="single" w:color="000000" w:sz="4" w:space="0"/>
            </w:tcBorders>
            <w:vAlign w:val="center"/>
          </w:tcPr>
          <w:p w14:paraId="11D4654D">
            <w:pPr>
              <w:rPr>
                <w:rFonts w:hint="eastAsia" w:ascii="宋体" w:hAnsi="宋体" w:eastAsia="宋体" w:cs="宋体"/>
                <w:color w:val="000000"/>
                <w:sz w:val="21"/>
                <w:szCs w:val="21"/>
              </w:rPr>
            </w:pPr>
            <w:r>
              <w:rPr>
                <w:rFonts w:hint="eastAsia" w:ascii="宋体" w:hAnsi="宋体" w:eastAsia="宋体" w:cs="宋体"/>
                <w:color w:val="000000"/>
                <w:sz w:val="21"/>
                <w:szCs w:val="21"/>
                <w:lang w:bidi="ar"/>
              </w:rPr>
              <w:t>支持动态获取现代应用架构如nacos，etcd，Eureka，Consul，ZooKeeper等各种开源服务注册中心的实例情况，动态生成</w:t>
            </w:r>
            <w:r>
              <w:rPr>
                <w:rFonts w:hint="eastAsia" w:ascii="宋体" w:hAnsi="宋体" w:eastAsia="宋体" w:cs="宋体"/>
                <w:color w:val="000000"/>
                <w:kern w:val="0"/>
                <w:sz w:val="21"/>
                <w:szCs w:val="21"/>
                <w:lang w:val="en-US" w:eastAsia="zh-CN" w:bidi="ar"/>
              </w:rPr>
              <w:t>服务器池</w:t>
            </w:r>
            <w:r>
              <w:rPr>
                <w:rFonts w:hint="eastAsia" w:ascii="宋体" w:hAnsi="宋体" w:eastAsia="宋体" w:cs="宋体"/>
                <w:color w:val="000000"/>
                <w:sz w:val="21"/>
                <w:szCs w:val="21"/>
                <w:lang w:bidi="ar"/>
              </w:rPr>
              <w:t>与</w:t>
            </w:r>
            <w:r>
              <w:rPr>
                <w:rFonts w:hint="eastAsia" w:ascii="宋体" w:hAnsi="宋体" w:eastAsia="宋体" w:cs="宋体"/>
                <w:color w:val="000000"/>
                <w:kern w:val="0"/>
                <w:sz w:val="21"/>
                <w:szCs w:val="21"/>
                <w:lang w:val="en-US" w:eastAsia="zh-CN" w:bidi="ar"/>
              </w:rPr>
              <w:t>服务器池</w:t>
            </w:r>
            <w:r>
              <w:rPr>
                <w:rFonts w:hint="eastAsia" w:ascii="宋体" w:hAnsi="宋体" w:eastAsia="宋体" w:cs="宋体"/>
                <w:color w:val="000000"/>
                <w:sz w:val="21"/>
                <w:szCs w:val="21"/>
                <w:lang w:bidi="ar"/>
              </w:rPr>
              <w:t>中的成员。</w:t>
            </w:r>
          </w:p>
        </w:tc>
      </w:tr>
      <w:tr w14:paraId="20C165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65C615A6">
            <w:pPr>
              <w:jc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基于Node.js环境的可编程控制</w:t>
            </w:r>
          </w:p>
        </w:tc>
        <w:tc>
          <w:tcPr>
            <w:tcW w:w="3805" w:type="pct"/>
            <w:tcBorders>
              <w:top w:val="single" w:color="000000" w:sz="4" w:space="0"/>
              <w:left w:val="nil"/>
              <w:bottom w:val="single" w:color="000000" w:sz="4" w:space="0"/>
              <w:right w:val="single" w:color="000000" w:sz="4" w:space="0"/>
            </w:tcBorders>
            <w:vAlign w:val="center"/>
          </w:tcPr>
          <w:p w14:paraId="08E51311">
            <w:pPr>
              <w:rPr>
                <w:rFonts w:hint="eastAsia" w:ascii="宋体" w:hAnsi="宋体" w:eastAsia="宋体" w:cs="宋体"/>
                <w:color w:val="000000"/>
                <w:sz w:val="21"/>
                <w:szCs w:val="21"/>
              </w:rPr>
            </w:pPr>
            <w:r>
              <w:rPr>
                <w:rFonts w:hint="eastAsia" w:ascii="宋体" w:hAnsi="宋体" w:eastAsia="宋体" w:cs="宋体"/>
                <w:color w:val="000000"/>
                <w:sz w:val="21"/>
                <w:szCs w:val="21"/>
                <w:lang w:bidi="ar"/>
              </w:rPr>
              <w:t>设备支持Node.js环境的可编程控制功能，支持Javascript语法。支持如连接Mysql进行数据库查询等功能。</w:t>
            </w:r>
          </w:p>
        </w:tc>
      </w:tr>
      <w:tr w14:paraId="47F86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4A557778">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可编程管理流量</w:t>
            </w:r>
          </w:p>
        </w:tc>
        <w:tc>
          <w:tcPr>
            <w:tcW w:w="3805" w:type="pct"/>
            <w:tcBorders>
              <w:top w:val="single" w:color="000000" w:sz="4" w:space="0"/>
              <w:left w:val="nil"/>
              <w:bottom w:val="single" w:color="000000" w:sz="4" w:space="0"/>
              <w:right w:val="single" w:color="000000" w:sz="4" w:space="0"/>
            </w:tcBorders>
            <w:vAlign w:val="center"/>
          </w:tcPr>
          <w:p w14:paraId="4BD510F5">
            <w:pPr>
              <w:rPr>
                <w:rFonts w:hint="eastAsia" w:ascii="宋体" w:hAnsi="宋体" w:eastAsia="宋体" w:cs="宋体"/>
                <w:color w:val="000000"/>
                <w:sz w:val="21"/>
                <w:szCs w:val="21"/>
              </w:rPr>
            </w:pPr>
            <w:r>
              <w:rPr>
                <w:rFonts w:hint="eastAsia" w:ascii="宋体" w:hAnsi="宋体" w:eastAsia="宋体" w:cs="宋体"/>
                <w:color w:val="000000"/>
                <w:sz w:val="21"/>
                <w:szCs w:val="21"/>
              </w:rPr>
              <w:t>管理界面提供基于某种编程语言（如TCL语言）自定义的流量控制方法，可通过自编程方式实现灵活的流量处理手段。支持负载均衡、NAT、路由转发、会话保持等功能的可编程控制。</w:t>
            </w:r>
          </w:p>
        </w:tc>
      </w:tr>
      <w:tr w14:paraId="633D87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3D4099A8">
            <w:pPr>
              <w:widowControl w:val="0"/>
              <w:jc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sz w:val="21"/>
                <w:szCs w:val="21"/>
                <w:highlight w:val="none"/>
              </w:rPr>
              <w:t>提供可视化监测</w:t>
            </w:r>
            <w:r>
              <w:rPr>
                <w:rFonts w:hint="eastAsia" w:ascii="宋体" w:hAnsi="宋体" w:eastAsia="宋体" w:cs="宋体"/>
                <w:sz w:val="21"/>
                <w:szCs w:val="21"/>
                <w:highlight w:val="none"/>
                <w:lang w:val="en-US" w:eastAsia="zh-CN"/>
              </w:rPr>
              <w:t>指标</w:t>
            </w:r>
          </w:p>
        </w:tc>
        <w:tc>
          <w:tcPr>
            <w:tcW w:w="3805" w:type="pct"/>
            <w:tcBorders>
              <w:top w:val="single" w:color="000000" w:sz="4" w:space="0"/>
              <w:left w:val="nil"/>
              <w:bottom w:val="single" w:color="000000" w:sz="4" w:space="0"/>
              <w:right w:val="single" w:color="000000" w:sz="4" w:space="0"/>
            </w:tcBorders>
            <w:vAlign w:val="center"/>
          </w:tcPr>
          <w:p w14:paraId="43A3C990">
            <w:pPr>
              <w:spacing w:beforeAutospacing="0" w:afterAutospacing="0" w:line="24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可输出目前可观测系统中</w:t>
            </w:r>
            <w:r>
              <w:rPr>
                <w:rFonts w:hint="eastAsia" w:ascii="宋体" w:hAnsi="宋体" w:eastAsia="宋体" w:cs="宋体"/>
                <w:color w:val="000000"/>
                <w:kern w:val="0"/>
                <w:sz w:val="21"/>
                <w:szCs w:val="21"/>
                <w:lang w:bidi="ar"/>
              </w:rPr>
              <w:t>成熟</w:t>
            </w:r>
            <w:r>
              <w:rPr>
                <w:rFonts w:hint="eastAsia" w:ascii="宋体" w:hAnsi="宋体" w:eastAsia="宋体" w:cs="宋体"/>
                <w:sz w:val="21"/>
                <w:szCs w:val="21"/>
                <w:highlight w:val="none"/>
                <w:lang w:val="en-US" w:eastAsia="zh-CN"/>
              </w:rPr>
              <w:t>的Prometheus metrics，包含以下相关metrics</w:t>
            </w:r>
          </w:p>
          <w:p w14:paraId="2BB7777E">
            <w:pPr>
              <w:spacing w:beforeAutospacing="0" w:afterAutospacing="0"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各功能组件的资源消耗，包括但不限于CPU、内存等占用情况</w:t>
            </w:r>
          </w:p>
          <w:p w14:paraId="57FFC04F">
            <w:pPr>
              <w:spacing w:beforeAutospacing="0" w:afterAutospacing="0"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各</w:t>
            </w:r>
            <w:r>
              <w:rPr>
                <w:rFonts w:hint="eastAsia" w:ascii="宋体" w:hAnsi="宋体" w:eastAsia="宋体" w:cs="宋体"/>
                <w:sz w:val="21"/>
                <w:szCs w:val="21"/>
                <w:highlight w:val="none"/>
                <w:lang w:val="en-US" w:eastAsia="zh-CN"/>
              </w:rPr>
              <w:t>虚拟服务</w:t>
            </w:r>
            <w:r>
              <w:rPr>
                <w:rFonts w:hint="eastAsia" w:ascii="宋体" w:hAnsi="宋体" w:eastAsia="宋体" w:cs="宋体"/>
                <w:sz w:val="21"/>
                <w:szCs w:val="21"/>
                <w:highlight w:val="none"/>
              </w:rPr>
              <w:t>的</w:t>
            </w:r>
            <w:r>
              <w:rPr>
                <w:rFonts w:hint="eastAsia" w:ascii="宋体" w:hAnsi="宋体" w:eastAsia="宋体" w:cs="宋体"/>
                <w:sz w:val="21"/>
                <w:szCs w:val="21"/>
                <w:highlight w:val="none"/>
                <w:lang w:val="en-US" w:eastAsia="zh-CN"/>
              </w:rPr>
              <w:t>的</w:t>
            </w:r>
            <w:r>
              <w:rPr>
                <w:rFonts w:hint="eastAsia" w:ascii="宋体" w:hAnsi="宋体" w:eastAsia="宋体" w:cs="宋体"/>
                <w:sz w:val="21"/>
                <w:szCs w:val="21"/>
                <w:highlight w:val="none"/>
              </w:rPr>
              <w:t>CPU占用、吞吐量、并发连接、新建连接、7层请求（例如http）速率等信息</w:t>
            </w:r>
          </w:p>
          <w:p w14:paraId="6316CE2B">
            <w:pPr>
              <w:spacing w:beforeAutospacing="0" w:afterAutospacing="0"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各服务资源</w:t>
            </w:r>
            <w:r>
              <w:rPr>
                <w:rFonts w:hint="eastAsia" w:ascii="宋体" w:hAnsi="宋体" w:eastAsia="宋体" w:cs="宋体"/>
                <w:sz w:val="21"/>
                <w:szCs w:val="21"/>
                <w:highlight w:val="none"/>
                <w:lang w:val="en-US" w:eastAsia="zh-CN"/>
              </w:rPr>
              <w:t>池</w:t>
            </w:r>
            <w:r>
              <w:rPr>
                <w:rFonts w:hint="eastAsia" w:ascii="宋体" w:hAnsi="宋体" w:eastAsia="宋体" w:cs="宋体"/>
                <w:sz w:val="21"/>
                <w:szCs w:val="21"/>
                <w:highlight w:val="none"/>
              </w:rPr>
              <w:t>的可用性比例、成员的并发连接、请求率和吞吐量等信息</w:t>
            </w:r>
          </w:p>
          <w:p w14:paraId="1DF244CA">
            <w:pPr>
              <w:spacing w:beforeAutospacing="0" w:afterAutospacing="0"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应用安全模块各功能组件的启用情况，各安全组件的系统开销（例如CPU、内存等）及各类攻击事件的统计信息</w:t>
            </w:r>
          </w:p>
          <w:p w14:paraId="70DD0940">
            <w:pPr>
              <w:widowControl/>
              <w:spacing w:beforeAutospacing="0" w:afterAutospacing="0"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各应用数字证书资产的类型和有效期</w:t>
            </w:r>
          </w:p>
        </w:tc>
      </w:tr>
      <w:tr w14:paraId="0F9F91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7E077DA7">
            <w:pPr>
              <w:widowControl/>
              <w:jc w:val="center"/>
              <w:rPr>
                <w:rFonts w:hint="eastAsia" w:ascii="宋体" w:hAnsi="宋体" w:eastAsia="宋体" w:cs="宋体"/>
                <w:color w:val="000000"/>
                <w:kern w:val="0"/>
                <w:sz w:val="21"/>
                <w:szCs w:val="21"/>
                <w:highlight w:val="none"/>
                <w:lang w:bidi="ar"/>
              </w:rPr>
            </w:pPr>
            <w:r>
              <w:rPr>
                <w:rFonts w:hint="eastAsia" w:ascii="宋体" w:hAnsi="宋体" w:eastAsia="宋体" w:cs="宋体"/>
                <w:color w:val="000000"/>
                <w:kern w:val="0"/>
                <w:sz w:val="21"/>
                <w:szCs w:val="21"/>
                <w:highlight w:val="none"/>
                <w:lang w:bidi="ar"/>
              </w:rPr>
              <w:t>与Kubernetes集成</w:t>
            </w:r>
          </w:p>
        </w:tc>
        <w:tc>
          <w:tcPr>
            <w:tcW w:w="3805" w:type="pct"/>
            <w:tcBorders>
              <w:top w:val="single" w:color="000000" w:sz="4" w:space="0"/>
              <w:left w:val="nil"/>
              <w:bottom w:val="single" w:color="000000" w:sz="4" w:space="0"/>
              <w:right w:val="single" w:color="000000" w:sz="4" w:space="0"/>
            </w:tcBorders>
            <w:vAlign w:val="center"/>
          </w:tcPr>
          <w:p w14:paraId="7BD6B2AD">
            <w:pPr>
              <w:widowControl/>
              <w:rPr>
                <w:rFonts w:hint="eastAsia" w:ascii="宋体" w:hAnsi="宋体" w:eastAsia="宋体" w:cs="宋体"/>
                <w:color w:val="000000"/>
                <w:sz w:val="21"/>
                <w:szCs w:val="21"/>
                <w:highlight w:val="none"/>
                <w:lang w:val="en-US" w:eastAsia="zh-CN" w:bidi="ar"/>
              </w:rPr>
            </w:pPr>
            <w:r>
              <w:rPr>
                <w:rFonts w:hint="eastAsia" w:ascii="宋体" w:hAnsi="宋体" w:eastAsia="宋体" w:cs="宋体"/>
                <w:sz w:val="21"/>
                <w:szCs w:val="21"/>
                <w:highlight w:val="none"/>
              </w:rPr>
              <w:t>可作为容器入口与Kubernetes集群集成，支持多种容器网络解决方案，覆盖Underlay、Overlay两种组网方式。可直达Pod，并实时感知集群配置变化，并以此调整自身配置。</w:t>
            </w:r>
          </w:p>
        </w:tc>
      </w:tr>
      <w:tr w14:paraId="30D0D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6AE85B53">
            <w:pPr>
              <w:widowControl/>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API接口</w:t>
            </w:r>
          </w:p>
        </w:tc>
        <w:tc>
          <w:tcPr>
            <w:tcW w:w="3805" w:type="pct"/>
            <w:tcBorders>
              <w:top w:val="single" w:color="000000" w:sz="4" w:space="0"/>
              <w:left w:val="nil"/>
              <w:bottom w:val="single" w:color="000000" w:sz="4" w:space="0"/>
              <w:right w:val="single" w:color="000000" w:sz="4" w:space="0"/>
            </w:tcBorders>
            <w:vAlign w:val="center"/>
          </w:tcPr>
          <w:p w14:paraId="17FA4905">
            <w:pPr>
              <w:widowControl/>
              <w:rPr>
                <w:rFonts w:hint="eastAsia" w:ascii="宋体" w:hAnsi="宋体" w:eastAsia="宋体" w:cs="宋体"/>
                <w:color w:val="000000"/>
                <w:kern w:val="0"/>
                <w:sz w:val="21"/>
                <w:szCs w:val="21"/>
                <w:lang w:bidi="ar"/>
              </w:rPr>
            </w:pPr>
            <w:r>
              <w:rPr>
                <w:rFonts w:hint="eastAsia" w:ascii="宋体" w:hAnsi="宋体" w:eastAsia="宋体" w:cs="宋体"/>
                <w:color w:val="000000"/>
                <w:sz w:val="21"/>
                <w:szCs w:val="21"/>
                <w:lang w:val="en-US" w:eastAsia="zh-CN" w:bidi="ar"/>
              </w:rPr>
              <w:t>提供</w:t>
            </w:r>
            <w:r>
              <w:rPr>
                <w:rFonts w:hint="eastAsia" w:ascii="宋体" w:hAnsi="宋体" w:eastAsia="宋体" w:cs="宋体"/>
                <w:color w:val="000000"/>
                <w:sz w:val="21"/>
                <w:szCs w:val="21"/>
                <w:lang w:bidi="ar"/>
              </w:rPr>
              <w:t>API接口，</w:t>
            </w:r>
            <w:r>
              <w:rPr>
                <w:rFonts w:hint="eastAsia" w:ascii="宋体" w:hAnsi="宋体" w:eastAsia="宋体" w:cs="宋体"/>
                <w:color w:val="000000"/>
                <w:sz w:val="21"/>
                <w:szCs w:val="21"/>
                <w:lang w:val="en-US" w:eastAsia="zh-CN" w:bidi="ar"/>
              </w:rPr>
              <w:t>可通过API接口对设备进行管理，</w:t>
            </w:r>
            <w:r>
              <w:rPr>
                <w:rFonts w:hint="eastAsia" w:ascii="宋体" w:hAnsi="宋体" w:eastAsia="宋体" w:cs="宋体"/>
                <w:color w:val="000000"/>
                <w:sz w:val="21"/>
                <w:szCs w:val="21"/>
                <w:lang w:bidi="ar"/>
              </w:rPr>
              <w:t>实现</w:t>
            </w:r>
            <w:r>
              <w:rPr>
                <w:rFonts w:hint="eastAsia" w:ascii="宋体" w:hAnsi="宋体" w:eastAsia="宋体" w:cs="宋体"/>
                <w:color w:val="000000"/>
                <w:sz w:val="21"/>
                <w:szCs w:val="21"/>
                <w:lang w:val="en-US" w:eastAsia="zh-CN" w:bidi="ar"/>
              </w:rPr>
              <w:t>与</w:t>
            </w:r>
            <w:r>
              <w:rPr>
                <w:rFonts w:hint="eastAsia" w:ascii="宋体" w:hAnsi="宋体" w:eastAsia="宋体" w:cs="宋体"/>
                <w:color w:val="000000"/>
                <w:sz w:val="21"/>
                <w:szCs w:val="21"/>
                <w:lang w:bidi="ar"/>
              </w:rPr>
              <w:t>第三方管理软件的无缝集成。</w:t>
            </w:r>
          </w:p>
        </w:tc>
      </w:tr>
      <w:tr w14:paraId="3BA2B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tcBorders>
              <w:top w:val="single" w:color="000000" w:sz="4" w:space="0"/>
              <w:left w:val="single" w:color="000000" w:sz="4" w:space="0"/>
              <w:bottom w:val="single" w:color="000000" w:sz="4" w:space="0"/>
              <w:right w:val="single" w:color="000000" w:sz="4" w:space="0"/>
            </w:tcBorders>
            <w:vAlign w:val="center"/>
          </w:tcPr>
          <w:p w14:paraId="374E0B43">
            <w:pPr>
              <w:widowControl/>
              <w:jc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自动化运维</w:t>
            </w:r>
          </w:p>
        </w:tc>
        <w:tc>
          <w:tcPr>
            <w:tcW w:w="3805" w:type="pct"/>
            <w:tcBorders>
              <w:top w:val="single" w:color="000000" w:sz="4" w:space="0"/>
              <w:left w:val="nil"/>
              <w:bottom w:val="single" w:color="000000" w:sz="4" w:space="0"/>
              <w:right w:val="single" w:color="000000" w:sz="4" w:space="0"/>
            </w:tcBorders>
            <w:vAlign w:val="center"/>
          </w:tcPr>
          <w:p w14:paraId="1B090B1D">
            <w:pPr>
              <w:widowControl/>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为了后期实现自动化运维管理，支持目前成熟的Ansible自动化运维工具，可通过Ansible自动运维工具完成设备的日常运维配置，如配置</w:t>
            </w:r>
            <w:r>
              <w:rPr>
                <w:rFonts w:hint="eastAsia" w:ascii="宋体" w:hAnsi="宋体" w:eastAsia="宋体" w:cs="宋体"/>
                <w:color w:val="000000"/>
                <w:kern w:val="0"/>
                <w:sz w:val="21"/>
                <w:szCs w:val="21"/>
                <w:lang w:val="en-US" w:eastAsia="zh-CN" w:bidi="ar"/>
              </w:rPr>
              <w:t>虚拟服务、服务器池、后端服务器、网络等负载均衡对像</w:t>
            </w:r>
          </w:p>
        </w:tc>
      </w:tr>
      <w:tr w14:paraId="1EA94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vMerge w:val="restart"/>
            <w:tcBorders>
              <w:top w:val="nil"/>
              <w:left w:val="single" w:color="000000" w:sz="4" w:space="0"/>
              <w:bottom w:val="single" w:color="000000" w:sz="4" w:space="0"/>
              <w:right w:val="single" w:color="000000" w:sz="4" w:space="0"/>
            </w:tcBorders>
            <w:vAlign w:val="center"/>
          </w:tcPr>
          <w:p w14:paraId="1EFE4C43">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服务要求</w:t>
            </w:r>
          </w:p>
        </w:tc>
        <w:tc>
          <w:tcPr>
            <w:tcW w:w="3805" w:type="pct"/>
            <w:tcBorders>
              <w:top w:val="single" w:color="000000" w:sz="4" w:space="0"/>
              <w:left w:val="nil"/>
              <w:bottom w:val="single" w:color="000000" w:sz="4" w:space="0"/>
              <w:right w:val="single" w:color="000000" w:sz="4" w:space="0"/>
            </w:tcBorders>
            <w:vAlign w:val="center"/>
          </w:tcPr>
          <w:p w14:paraId="1CC07731">
            <w:pPr>
              <w:widowControl/>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提供原厂7*24小时免费800/400技术电话支持，供货时必须由原厂直接提供包含供货设备序列号及服务期限等信息的原厂服务函。</w:t>
            </w:r>
          </w:p>
        </w:tc>
      </w:tr>
      <w:tr w14:paraId="5E6A8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194" w:type="pct"/>
            <w:vMerge w:val="continue"/>
            <w:tcBorders>
              <w:top w:val="nil"/>
              <w:left w:val="single" w:color="000000" w:sz="4" w:space="0"/>
              <w:bottom w:val="single" w:color="000000" w:sz="4" w:space="0"/>
              <w:right w:val="single" w:color="000000" w:sz="4" w:space="0"/>
            </w:tcBorders>
            <w:vAlign w:val="center"/>
          </w:tcPr>
          <w:p w14:paraId="5EEB841C">
            <w:pPr>
              <w:widowControl/>
              <w:jc w:val="left"/>
              <w:rPr>
                <w:rFonts w:hint="eastAsia" w:ascii="宋体" w:hAnsi="宋体" w:eastAsia="宋体" w:cs="宋体"/>
                <w:color w:val="000000"/>
                <w:kern w:val="0"/>
                <w:sz w:val="21"/>
                <w:szCs w:val="21"/>
              </w:rPr>
            </w:pPr>
          </w:p>
        </w:tc>
        <w:tc>
          <w:tcPr>
            <w:tcW w:w="3805" w:type="pct"/>
            <w:tcBorders>
              <w:top w:val="single" w:color="000000" w:sz="4" w:space="0"/>
              <w:left w:val="nil"/>
              <w:bottom w:val="single" w:color="000000" w:sz="4" w:space="0"/>
              <w:right w:val="single" w:color="000000" w:sz="4" w:space="0"/>
            </w:tcBorders>
            <w:vAlign w:val="center"/>
          </w:tcPr>
          <w:p w14:paraId="0C38142C">
            <w:pPr>
              <w:widowControl/>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备件服务：下一工作日原厂备件到达。</w:t>
            </w:r>
          </w:p>
        </w:tc>
      </w:tr>
    </w:tbl>
    <w:p w14:paraId="091878F7">
      <w:pPr>
        <w:adjustRightInd w:val="0"/>
        <w:snapToGrid w:val="0"/>
        <w:rPr>
          <w:rFonts w:ascii="宋体" w:hAnsi="宋体" w:cs="宋体"/>
          <w:b/>
          <w:bCs/>
          <w:color w:val="000000"/>
          <w:szCs w:val="21"/>
        </w:rPr>
      </w:pPr>
    </w:p>
    <w:p w14:paraId="17AA62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lang w:val="en-US" w:eastAsia="zh-CN"/>
        </w:rPr>
      </w:pPr>
      <w:r>
        <w:rPr>
          <w:rFonts w:hint="eastAsia"/>
          <w:b/>
          <w:bCs/>
          <w:lang w:val="en-US" w:eastAsia="zh-CN"/>
        </w:rPr>
        <w:t>三、原厂技术服务</w:t>
      </w:r>
    </w:p>
    <w:p w14:paraId="3FAA063E">
      <w:pPr>
        <w:widowControl/>
        <w:spacing w:line="360" w:lineRule="auto"/>
        <w:ind w:firstLine="420" w:firstLineChars="200"/>
        <w:jc w:val="left"/>
        <w:rPr>
          <w:rFonts w:ascii="宋体" w:hAnsi="宋体"/>
          <w:szCs w:val="21"/>
        </w:rPr>
      </w:pPr>
      <w:r>
        <w:rPr>
          <w:rFonts w:hint="eastAsia" w:ascii="宋体" w:hAnsi="宋体"/>
          <w:szCs w:val="21"/>
        </w:rPr>
        <w:t>需配套提供</w:t>
      </w:r>
      <w:r>
        <w:rPr>
          <w:rFonts w:hint="eastAsia" w:ascii="宋体" w:hAnsi="宋体"/>
          <w:szCs w:val="21"/>
          <w:lang w:val="en-US" w:eastAsia="zh-CN"/>
        </w:rPr>
        <w:t>8</w:t>
      </w:r>
      <w:r>
        <w:rPr>
          <w:rFonts w:hint="eastAsia" w:ascii="宋体" w:hAnsi="宋体"/>
          <w:szCs w:val="21"/>
        </w:rPr>
        <w:t>年原厂7*24小时的技术支持服务，包含设备维护、技术支持和下一工作日原厂备件服务。</w:t>
      </w:r>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体">
    <w:altName w:val="仿宋"/>
    <w:panose1 w:val="00000000000000000000"/>
    <w:charset w:val="86"/>
    <w:family w:val="swiss"/>
    <w:pitch w:val="default"/>
    <w:sig w:usb0="00000000" w:usb1="00000000" w:usb2="00000010" w:usb3="00000000" w:csb0="00040000" w:csb1="00000000"/>
  </w:font>
  <w:font w:name="方正仿宋_GBK">
    <w:altName w:val="Arial Unicode MS"/>
    <w:panose1 w:val="02000000000000000000"/>
    <w:charset w:val="86"/>
    <w:family w:val="auto"/>
    <w:pitch w:val="default"/>
    <w:sig w:usb0="00000000" w:usb1="00000000" w:usb2="00082016" w:usb3="00000000" w:csb0="00040001" w:csb1="00000000"/>
  </w:font>
  <w:font w:name="LKHHE B+ Palatino">
    <w:altName w:val="宋体"/>
    <w:panose1 w:val="00000000000000000000"/>
    <w:charset w:val="86"/>
    <w:family w:val="roman"/>
    <w:pitch w:val="default"/>
    <w:sig w:usb0="00000000" w:usb1="00000000" w:usb2="00000010" w:usb3="00000000" w:csb0="00040000" w:csb1="00000000"/>
  </w:font>
  <w:font w:name="苹方-简">
    <w:altName w:val="宋体"/>
    <w:panose1 w:val="020B0400000000000000"/>
    <w:charset w:val="86"/>
    <w:family w:val="auto"/>
    <w:pitch w:val="default"/>
    <w:sig w:usb0="00000000" w:usb1="00000000" w:usb2="00000017" w:usb3="00000000" w:csb0="00040001"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E07395"/>
    <w:multiLevelType w:val="multilevel"/>
    <w:tmpl w:val="02E07395"/>
    <w:lvl w:ilvl="0" w:tentative="0">
      <w:start w:val="1"/>
      <w:numFmt w:val="chineseCounting"/>
      <w:suff w:val="nothing"/>
      <w:lvlText w:val="第%1章 "/>
      <w:lvlJc w:val="left"/>
      <w:pPr>
        <w:ind w:left="432" w:hanging="432"/>
      </w:pPr>
      <w:rPr>
        <w:rFonts w:hint="eastAsia"/>
      </w:rPr>
    </w:lvl>
    <w:lvl w:ilvl="1" w:tentative="0">
      <w:start w:val="1"/>
      <w:numFmt w:val="decimal"/>
      <w:isLgl/>
      <w:lvlText w:val="%1.%2."/>
      <w:lvlJc w:val="left"/>
      <w:pPr>
        <w:ind w:left="575" w:hanging="575"/>
      </w:pPr>
      <w:rPr>
        <w:rFonts w:hint="eastAsia"/>
      </w:rPr>
    </w:lvl>
    <w:lvl w:ilvl="2" w:tentative="0">
      <w:start w:val="1"/>
      <w:numFmt w:val="decimal"/>
      <w:pStyle w:val="5"/>
      <w:isLgl/>
      <w:lvlText w:val="%1.%2.%3."/>
      <w:lvlJc w:val="left"/>
      <w:pPr>
        <w:ind w:left="720" w:hanging="720"/>
      </w:pPr>
      <w:rPr>
        <w:rFonts w:hint="eastAsia"/>
      </w:rPr>
    </w:lvl>
    <w:lvl w:ilvl="3" w:tentative="0">
      <w:start w:val="1"/>
      <w:numFmt w:val="decimal"/>
      <w:pStyle w:val="6"/>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RlZWZmODljNWNhM2ZiMzhjYTc3NzY5MzJkZGY4NDgifQ=="/>
  </w:docVars>
  <w:rsids>
    <w:rsidRoot w:val="009D711F"/>
    <w:rsid w:val="00004610"/>
    <w:rsid w:val="00011891"/>
    <w:rsid w:val="00022FF5"/>
    <w:rsid w:val="0004540A"/>
    <w:rsid w:val="000C3C23"/>
    <w:rsid w:val="000E3CDE"/>
    <w:rsid w:val="000E6D25"/>
    <w:rsid w:val="00125576"/>
    <w:rsid w:val="00132F66"/>
    <w:rsid w:val="00133EA3"/>
    <w:rsid w:val="00135D72"/>
    <w:rsid w:val="00153D94"/>
    <w:rsid w:val="00156CE3"/>
    <w:rsid w:val="0018170E"/>
    <w:rsid w:val="00186E02"/>
    <w:rsid w:val="00187358"/>
    <w:rsid w:val="00191300"/>
    <w:rsid w:val="001C33F0"/>
    <w:rsid w:val="001F55FC"/>
    <w:rsid w:val="0020300D"/>
    <w:rsid w:val="002101D7"/>
    <w:rsid w:val="00210478"/>
    <w:rsid w:val="00211A26"/>
    <w:rsid w:val="00212BE2"/>
    <w:rsid w:val="002374EA"/>
    <w:rsid w:val="002615EA"/>
    <w:rsid w:val="00262BEC"/>
    <w:rsid w:val="00273B73"/>
    <w:rsid w:val="002844E3"/>
    <w:rsid w:val="00295349"/>
    <w:rsid w:val="002D79F7"/>
    <w:rsid w:val="00315890"/>
    <w:rsid w:val="00321875"/>
    <w:rsid w:val="00321CAF"/>
    <w:rsid w:val="00346D20"/>
    <w:rsid w:val="00352855"/>
    <w:rsid w:val="003845C3"/>
    <w:rsid w:val="003900AC"/>
    <w:rsid w:val="003A2946"/>
    <w:rsid w:val="003C5BF2"/>
    <w:rsid w:val="003E2A29"/>
    <w:rsid w:val="003E6F64"/>
    <w:rsid w:val="0040459A"/>
    <w:rsid w:val="0042517B"/>
    <w:rsid w:val="00464CB9"/>
    <w:rsid w:val="00493611"/>
    <w:rsid w:val="00496735"/>
    <w:rsid w:val="004B33F8"/>
    <w:rsid w:val="004B4737"/>
    <w:rsid w:val="004E1ECE"/>
    <w:rsid w:val="004E5C68"/>
    <w:rsid w:val="00503372"/>
    <w:rsid w:val="00505D68"/>
    <w:rsid w:val="0052593B"/>
    <w:rsid w:val="00580C2E"/>
    <w:rsid w:val="005827C6"/>
    <w:rsid w:val="005947D2"/>
    <w:rsid w:val="005A6C45"/>
    <w:rsid w:val="005B26FB"/>
    <w:rsid w:val="005B5D5E"/>
    <w:rsid w:val="005E08F1"/>
    <w:rsid w:val="005E34DE"/>
    <w:rsid w:val="005E5EE8"/>
    <w:rsid w:val="005F02D3"/>
    <w:rsid w:val="005F1F18"/>
    <w:rsid w:val="005F3946"/>
    <w:rsid w:val="006122F6"/>
    <w:rsid w:val="006145CF"/>
    <w:rsid w:val="00626881"/>
    <w:rsid w:val="0063069F"/>
    <w:rsid w:val="00641C96"/>
    <w:rsid w:val="00644E74"/>
    <w:rsid w:val="00655E76"/>
    <w:rsid w:val="00680BBF"/>
    <w:rsid w:val="00680DA4"/>
    <w:rsid w:val="0068592C"/>
    <w:rsid w:val="007014EB"/>
    <w:rsid w:val="00735AB6"/>
    <w:rsid w:val="00741A23"/>
    <w:rsid w:val="00773EE8"/>
    <w:rsid w:val="00783E90"/>
    <w:rsid w:val="007953C6"/>
    <w:rsid w:val="007A1039"/>
    <w:rsid w:val="007A23EE"/>
    <w:rsid w:val="007B0A8C"/>
    <w:rsid w:val="007B3CA6"/>
    <w:rsid w:val="007C3839"/>
    <w:rsid w:val="007D0487"/>
    <w:rsid w:val="007E3B54"/>
    <w:rsid w:val="007F1DA5"/>
    <w:rsid w:val="007F7935"/>
    <w:rsid w:val="00826775"/>
    <w:rsid w:val="00830FF6"/>
    <w:rsid w:val="0084144D"/>
    <w:rsid w:val="00851784"/>
    <w:rsid w:val="00864577"/>
    <w:rsid w:val="0087009A"/>
    <w:rsid w:val="00897D2C"/>
    <w:rsid w:val="008B1AE1"/>
    <w:rsid w:val="008B4458"/>
    <w:rsid w:val="008F2CD0"/>
    <w:rsid w:val="008F5D59"/>
    <w:rsid w:val="00904537"/>
    <w:rsid w:val="0091496A"/>
    <w:rsid w:val="009240C6"/>
    <w:rsid w:val="009249B5"/>
    <w:rsid w:val="0094228D"/>
    <w:rsid w:val="0095309E"/>
    <w:rsid w:val="0096526E"/>
    <w:rsid w:val="009679D9"/>
    <w:rsid w:val="00982404"/>
    <w:rsid w:val="009A1574"/>
    <w:rsid w:val="009D711F"/>
    <w:rsid w:val="009E156A"/>
    <w:rsid w:val="009E42B5"/>
    <w:rsid w:val="009E7330"/>
    <w:rsid w:val="009F7500"/>
    <w:rsid w:val="00A1139D"/>
    <w:rsid w:val="00A741B7"/>
    <w:rsid w:val="00AD75FB"/>
    <w:rsid w:val="00AE2DB1"/>
    <w:rsid w:val="00AF07B7"/>
    <w:rsid w:val="00B32EE6"/>
    <w:rsid w:val="00BB4EF0"/>
    <w:rsid w:val="00BE2AEF"/>
    <w:rsid w:val="00BF2D30"/>
    <w:rsid w:val="00BF4ABC"/>
    <w:rsid w:val="00C1623B"/>
    <w:rsid w:val="00C17CD8"/>
    <w:rsid w:val="00C410A4"/>
    <w:rsid w:val="00C42C23"/>
    <w:rsid w:val="00C545B8"/>
    <w:rsid w:val="00C63250"/>
    <w:rsid w:val="00C73C5E"/>
    <w:rsid w:val="00C802D3"/>
    <w:rsid w:val="00C80F42"/>
    <w:rsid w:val="00C81132"/>
    <w:rsid w:val="00C905D6"/>
    <w:rsid w:val="00C938E0"/>
    <w:rsid w:val="00CA2DFA"/>
    <w:rsid w:val="00D71A5B"/>
    <w:rsid w:val="00D75773"/>
    <w:rsid w:val="00D86100"/>
    <w:rsid w:val="00D93D4E"/>
    <w:rsid w:val="00DA3FF0"/>
    <w:rsid w:val="00DC1377"/>
    <w:rsid w:val="00DC19CB"/>
    <w:rsid w:val="00DF1321"/>
    <w:rsid w:val="00E103DA"/>
    <w:rsid w:val="00E4215A"/>
    <w:rsid w:val="00E6609E"/>
    <w:rsid w:val="00E86F01"/>
    <w:rsid w:val="00E879BD"/>
    <w:rsid w:val="00EA1D9A"/>
    <w:rsid w:val="00EB3AD8"/>
    <w:rsid w:val="00EB3B60"/>
    <w:rsid w:val="00EC593F"/>
    <w:rsid w:val="00F132C0"/>
    <w:rsid w:val="00F31DEB"/>
    <w:rsid w:val="00F505F5"/>
    <w:rsid w:val="00F62048"/>
    <w:rsid w:val="00F711C2"/>
    <w:rsid w:val="00F713AB"/>
    <w:rsid w:val="00F72EBF"/>
    <w:rsid w:val="00F92EF8"/>
    <w:rsid w:val="00F9566E"/>
    <w:rsid w:val="00FB70C8"/>
    <w:rsid w:val="00FC7509"/>
    <w:rsid w:val="00FD3128"/>
    <w:rsid w:val="00FD5E13"/>
    <w:rsid w:val="00FE09E4"/>
    <w:rsid w:val="00FF6AD5"/>
    <w:rsid w:val="01F971B0"/>
    <w:rsid w:val="02A8199B"/>
    <w:rsid w:val="03B94246"/>
    <w:rsid w:val="04102916"/>
    <w:rsid w:val="042269B2"/>
    <w:rsid w:val="04792073"/>
    <w:rsid w:val="04823442"/>
    <w:rsid w:val="04BA1FD6"/>
    <w:rsid w:val="052878D5"/>
    <w:rsid w:val="05706325"/>
    <w:rsid w:val="05825C4A"/>
    <w:rsid w:val="05A62574"/>
    <w:rsid w:val="05A752A3"/>
    <w:rsid w:val="06123B2E"/>
    <w:rsid w:val="061618D8"/>
    <w:rsid w:val="068C2AA6"/>
    <w:rsid w:val="06A02AF4"/>
    <w:rsid w:val="07504FB6"/>
    <w:rsid w:val="077F00A3"/>
    <w:rsid w:val="07E060CA"/>
    <w:rsid w:val="08206A86"/>
    <w:rsid w:val="089A09F3"/>
    <w:rsid w:val="08FC3585"/>
    <w:rsid w:val="090E2322"/>
    <w:rsid w:val="0D9F1DC3"/>
    <w:rsid w:val="0DB94680"/>
    <w:rsid w:val="0DE1526B"/>
    <w:rsid w:val="0F8013C4"/>
    <w:rsid w:val="107142C8"/>
    <w:rsid w:val="123A5F3E"/>
    <w:rsid w:val="1319248D"/>
    <w:rsid w:val="151947FE"/>
    <w:rsid w:val="156F517A"/>
    <w:rsid w:val="15FD6632"/>
    <w:rsid w:val="160950AD"/>
    <w:rsid w:val="16302F25"/>
    <w:rsid w:val="165C62DB"/>
    <w:rsid w:val="16612C47"/>
    <w:rsid w:val="16C87C07"/>
    <w:rsid w:val="16D73D1B"/>
    <w:rsid w:val="175B3C78"/>
    <w:rsid w:val="176333D2"/>
    <w:rsid w:val="17955982"/>
    <w:rsid w:val="18212973"/>
    <w:rsid w:val="18D058ED"/>
    <w:rsid w:val="19322427"/>
    <w:rsid w:val="19AC6AF4"/>
    <w:rsid w:val="1A3477C4"/>
    <w:rsid w:val="1A7B06FD"/>
    <w:rsid w:val="1AE45BF4"/>
    <w:rsid w:val="1C38318C"/>
    <w:rsid w:val="1C7678C4"/>
    <w:rsid w:val="1D403858"/>
    <w:rsid w:val="1D87384D"/>
    <w:rsid w:val="1D8A4903"/>
    <w:rsid w:val="1DAE6295"/>
    <w:rsid w:val="1DB4109C"/>
    <w:rsid w:val="1E380731"/>
    <w:rsid w:val="1E403142"/>
    <w:rsid w:val="1E7D6474"/>
    <w:rsid w:val="1E833EC6"/>
    <w:rsid w:val="1EA700BC"/>
    <w:rsid w:val="1EE71E22"/>
    <w:rsid w:val="1EF32414"/>
    <w:rsid w:val="1F422FD0"/>
    <w:rsid w:val="205D5FB8"/>
    <w:rsid w:val="20BE20B5"/>
    <w:rsid w:val="20E56936"/>
    <w:rsid w:val="211467ED"/>
    <w:rsid w:val="217F396E"/>
    <w:rsid w:val="223E478E"/>
    <w:rsid w:val="22C9023D"/>
    <w:rsid w:val="23077084"/>
    <w:rsid w:val="2322550C"/>
    <w:rsid w:val="23A93917"/>
    <w:rsid w:val="23CD7C1F"/>
    <w:rsid w:val="24046961"/>
    <w:rsid w:val="240E4511"/>
    <w:rsid w:val="242332EA"/>
    <w:rsid w:val="248D60CD"/>
    <w:rsid w:val="249B5D76"/>
    <w:rsid w:val="24BA29F5"/>
    <w:rsid w:val="255D4FD5"/>
    <w:rsid w:val="25634F78"/>
    <w:rsid w:val="26302BF1"/>
    <w:rsid w:val="275863FE"/>
    <w:rsid w:val="27656538"/>
    <w:rsid w:val="27A73754"/>
    <w:rsid w:val="29336385"/>
    <w:rsid w:val="2953157D"/>
    <w:rsid w:val="2A571319"/>
    <w:rsid w:val="2A5E5BEC"/>
    <w:rsid w:val="2A8624FC"/>
    <w:rsid w:val="2ADF2143"/>
    <w:rsid w:val="2B0924B3"/>
    <w:rsid w:val="2B970139"/>
    <w:rsid w:val="2BBB5519"/>
    <w:rsid w:val="2BDDF0AA"/>
    <w:rsid w:val="2C125544"/>
    <w:rsid w:val="2C4270E3"/>
    <w:rsid w:val="2C8C3640"/>
    <w:rsid w:val="2CB27F13"/>
    <w:rsid w:val="2CCD0F33"/>
    <w:rsid w:val="2CE900F0"/>
    <w:rsid w:val="2E0F3FEE"/>
    <w:rsid w:val="300A0FD2"/>
    <w:rsid w:val="30EC6900"/>
    <w:rsid w:val="31011B73"/>
    <w:rsid w:val="31170AC4"/>
    <w:rsid w:val="31741BD1"/>
    <w:rsid w:val="318039DA"/>
    <w:rsid w:val="32A2359B"/>
    <w:rsid w:val="32D14857"/>
    <w:rsid w:val="33381C51"/>
    <w:rsid w:val="35D329E0"/>
    <w:rsid w:val="36976F12"/>
    <w:rsid w:val="38161A64"/>
    <w:rsid w:val="391E4F75"/>
    <w:rsid w:val="39BD6064"/>
    <w:rsid w:val="39DD1D6C"/>
    <w:rsid w:val="39EFFAFE"/>
    <w:rsid w:val="39FF279B"/>
    <w:rsid w:val="3A161E70"/>
    <w:rsid w:val="3B787BA9"/>
    <w:rsid w:val="3B7B6722"/>
    <w:rsid w:val="3C0723C0"/>
    <w:rsid w:val="3C0E61D6"/>
    <w:rsid w:val="3C3F596C"/>
    <w:rsid w:val="3C6C3FE5"/>
    <w:rsid w:val="3CCD3D1B"/>
    <w:rsid w:val="3D7B5AED"/>
    <w:rsid w:val="3DA71246"/>
    <w:rsid w:val="3DD112BA"/>
    <w:rsid w:val="3DE83D8D"/>
    <w:rsid w:val="3EC0100B"/>
    <w:rsid w:val="3ED119DE"/>
    <w:rsid w:val="3F215E8D"/>
    <w:rsid w:val="3FB314F3"/>
    <w:rsid w:val="3FC2384E"/>
    <w:rsid w:val="408A5CB3"/>
    <w:rsid w:val="4194717D"/>
    <w:rsid w:val="41A15010"/>
    <w:rsid w:val="4278473A"/>
    <w:rsid w:val="428E14DE"/>
    <w:rsid w:val="43C16D29"/>
    <w:rsid w:val="43E50164"/>
    <w:rsid w:val="44A111E4"/>
    <w:rsid w:val="44CC6814"/>
    <w:rsid w:val="44DA4E02"/>
    <w:rsid w:val="44FA7C3F"/>
    <w:rsid w:val="453F40FA"/>
    <w:rsid w:val="45E648B0"/>
    <w:rsid w:val="466170FB"/>
    <w:rsid w:val="47553FAE"/>
    <w:rsid w:val="4760114D"/>
    <w:rsid w:val="47A37E3E"/>
    <w:rsid w:val="482939BF"/>
    <w:rsid w:val="484E5E9D"/>
    <w:rsid w:val="48C63B98"/>
    <w:rsid w:val="49406624"/>
    <w:rsid w:val="49ED197A"/>
    <w:rsid w:val="4A3C1ECE"/>
    <w:rsid w:val="4ADB3F74"/>
    <w:rsid w:val="4B70526A"/>
    <w:rsid w:val="4B9338C5"/>
    <w:rsid w:val="4C221024"/>
    <w:rsid w:val="4C40062D"/>
    <w:rsid w:val="4CF035CB"/>
    <w:rsid w:val="4D4752E8"/>
    <w:rsid w:val="4D9D560B"/>
    <w:rsid w:val="4E331D07"/>
    <w:rsid w:val="4ED33443"/>
    <w:rsid w:val="4F036BF8"/>
    <w:rsid w:val="504246C9"/>
    <w:rsid w:val="50892910"/>
    <w:rsid w:val="51835FBF"/>
    <w:rsid w:val="51CF3EB6"/>
    <w:rsid w:val="52155943"/>
    <w:rsid w:val="524724F9"/>
    <w:rsid w:val="529C6A94"/>
    <w:rsid w:val="53DF612B"/>
    <w:rsid w:val="54026103"/>
    <w:rsid w:val="546D3BC9"/>
    <w:rsid w:val="54883E37"/>
    <w:rsid w:val="54F712B4"/>
    <w:rsid w:val="54FD34C1"/>
    <w:rsid w:val="55BA49E9"/>
    <w:rsid w:val="55BC6024"/>
    <w:rsid w:val="55C20305"/>
    <w:rsid w:val="55E71B19"/>
    <w:rsid w:val="566F16C2"/>
    <w:rsid w:val="5692255E"/>
    <w:rsid w:val="570F757A"/>
    <w:rsid w:val="57437197"/>
    <w:rsid w:val="5778243D"/>
    <w:rsid w:val="57A68C6D"/>
    <w:rsid w:val="57F9527F"/>
    <w:rsid w:val="5854618C"/>
    <w:rsid w:val="59C642EE"/>
    <w:rsid w:val="5A9E3691"/>
    <w:rsid w:val="5AB81117"/>
    <w:rsid w:val="5B005D9F"/>
    <w:rsid w:val="5C0A6952"/>
    <w:rsid w:val="5D7A66B4"/>
    <w:rsid w:val="5D891FCB"/>
    <w:rsid w:val="5E2B6DFB"/>
    <w:rsid w:val="5E6741C7"/>
    <w:rsid w:val="5E6D556C"/>
    <w:rsid w:val="5EA11EA7"/>
    <w:rsid w:val="5F6D3613"/>
    <w:rsid w:val="609C3C0B"/>
    <w:rsid w:val="60CC43C0"/>
    <w:rsid w:val="60F1667C"/>
    <w:rsid w:val="618618CE"/>
    <w:rsid w:val="624842C0"/>
    <w:rsid w:val="62A96AD4"/>
    <w:rsid w:val="631019E4"/>
    <w:rsid w:val="63252BC2"/>
    <w:rsid w:val="634B7FD3"/>
    <w:rsid w:val="64226CCE"/>
    <w:rsid w:val="64641702"/>
    <w:rsid w:val="64B657A2"/>
    <w:rsid w:val="64F156C8"/>
    <w:rsid w:val="655B1A26"/>
    <w:rsid w:val="657310AD"/>
    <w:rsid w:val="65817EF5"/>
    <w:rsid w:val="658B4A36"/>
    <w:rsid w:val="65E128EB"/>
    <w:rsid w:val="670B2E58"/>
    <w:rsid w:val="67BDCB51"/>
    <w:rsid w:val="67ECD341"/>
    <w:rsid w:val="67F31962"/>
    <w:rsid w:val="684574FB"/>
    <w:rsid w:val="68C41D74"/>
    <w:rsid w:val="690E6FC6"/>
    <w:rsid w:val="69204799"/>
    <w:rsid w:val="693206E8"/>
    <w:rsid w:val="6AB6136D"/>
    <w:rsid w:val="6C0C33EC"/>
    <w:rsid w:val="6C461851"/>
    <w:rsid w:val="6C700663"/>
    <w:rsid w:val="6C795EB9"/>
    <w:rsid w:val="6CA47EF5"/>
    <w:rsid w:val="6CAD4AD8"/>
    <w:rsid w:val="6D5907B2"/>
    <w:rsid w:val="6DD051C8"/>
    <w:rsid w:val="6EB92425"/>
    <w:rsid w:val="6F7F304C"/>
    <w:rsid w:val="6FC34322"/>
    <w:rsid w:val="702A41E4"/>
    <w:rsid w:val="702D2D33"/>
    <w:rsid w:val="70C01D60"/>
    <w:rsid w:val="711073F6"/>
    <w:rsid w:val="716C438A"/>
    <w:rsid w:val="71AF7537"/>
    <w:rsid w:val="72175614"/>
    <w:rsid w:val="72937B28"/>
    <w:rsid w:val="72CE3833"/>
    <w:rsid w:val="72D66DD7"/>
    <w:rsid w:val="732E3921"/>
    <w:rsid w:val="73830C7C"/>
    <w:rsid w:val="73FB03EB"/>
    <w:rsid w:val="74276179"/>
    <w:rsid w:val="74277A15"/>
    <w:rsid w:val="747C5AA5"/>
    <w:rsid w:val="74A919FB"/>
    <w:rsid w:val="74F85522"/>
    <w:rsid w:val="75B173BC"/>
    <w:rsid w:val="75CC10A0"/>
    <w:rsid w:val="77A14380"/>
    <w:rsid w:val="785B16B6"/>
    <w:rsid w:val="78A015DF"/>
    <w:rsid w:val="78D70444"/>
    <w:rsid w:val="78FE9487"/>
    <w:rsid w:val="799C3096"/>
    <w:rsid w:val="799C622E"/>
    <w:rsid w:val="7A8225E3"/>
    <w:rsid w:val="7AEE7C3D"/>
    <w:rsid w:val="7B195369"/>
    <w:rsid w:val="7BA63CA4"/>
    <w:rsid w:val="7BE116CB"/>
    <w:rsid w:val="7BFE6B76"/>
    <w:rsid w:val="7C484029"/>
    <w:rsid w:val="7CC73F74"/>
    <w:rsid w:val="7D17640F"/>
    <w:rsid w:val="7D7327D7"/>
    <w:rsid w:val="7DDBF512"/>
    <w:rsid w:val="7DDC7C4B"/>
    <w:rsid w:val="7DFF151C"/>
    <w:rsid w:val="7E3F6FA8"/>
    <w:rsid w:val="7EAB828A"/>
    <w:rsid w:val="7ED31DC6"/>
    <w:rsid w:val="7F13BE10"/>
    <w:rsid w:val="7F546BD4"/>
    <w:rsid w:val="7F6EC398"/>
    <w:rsid w:val="7FBD38C6"/>
    <w:rsid w:val="7FEA827E"/>
    <w:rsid w:val="ABE79397"/>
    <w:rsid w:val="ABFFF314"/>
    <w:rsid w:val="AFBE0CB2"/>
    <w:rsid w:val="B5CE3177"/>
    <w:rsid w:val="BF6FB6BB"/>
    <w:rsid w:val="BFFF7368"/>
    <w:rsid w:val="DEDFEBD7"/>
    <w:rsid w:val="DF9EC42E"/>
    <w:rsid w:val="DFF55FB2"/>
    <w:rsid w:val="F16FB389"/>
    <w:rsid w:val="F6FFD4F2"/>
    <w:rsid w:val="F77BA3F2"/>
    <w:rsid w:val="FCD18020"/>
    <w:rsid w:val="FDF63B47"/>
    <w:rsid w:val="FEDE7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32"/>
      <w:szCs w:val="44"/>
    </w:rPr>
  </w:style>
  <w:style w:type="paragraph" w:styleId="4">
    <w:name w:val="heading 2"/>
    <w:basedOn w:val="1"/>
    <w:next w:val="1"/>
    <w:link w:val="22"/>
    <w:unhideWhenUsed/>
    <w:qFormat/>
    <w:uiPriority w:val="9"/>
    <w:pPr>
      <w:keepNext/>
      <w:keepLines/>
      <w:spacing w:before="260" w:after="260" w:line="416" w:lineRule="auto"/>
      <w:outlineLvl w:val="1"/>
    </w:pPr>
    <w:rPr>
      <w:rFonts w:asciiTheme="majorHAnsi" w:hAnsiTheme="majorHAnsi" w:cstheme="majorBidi"/>
      <w:b/>
      <w:bCs/>
      <w:sz w:val="30"/>
      <w:szCs w:val="32"/>
    </w:rPr>
  </w:style>
  <w:style w:type="paragraph" w:styleId="5">
    <w:name w:val="heading 3"/>
    <w:basedOn w:val="1"/>
    <w:next w:val="1"/>
    <w:unhideWhenUsed/>
    <w:qFormat/>
    <w:uiPriority w:val="9"/>
    <w:pPr>
      <w:keepNext/>
      <w:keepLines/>
      <w:numPr>
        <w:ilvl w:val="2"/>
        <w:numId w:val="1"/>
      </w:numPr>
      <w:spacing w:before="260" w:after="260" w:line="413" w:lineRule="auto"/>
      <w:outlineLvl w:val="2"/>
    </w:pPr>
    <w:rPr>
      <w:b/>
      <w:sz w:val="32"/>
    </w:rPr>
  </w:style>
  <w:style w:type="paragraph" w:styleId="6">
    <w:name w:val="heading 4"/>
    <w:basedOn w:val="1"/>
    <w:next w:val="1"/>
    <w:unhideWhenUsed/>
    <w:qFormat/>
    <w:uiPriority w:val="9"/>
    <w:pPr>
      <w:keepNext/>
      <w:keepLines/>
      <w:numPr>
        <w:ilvl w:val="3"/>
        <w:numId w:val="1"/>
      </w:numPr>
      <w:spacing w:before="280" w:after="290" w:line="372" w:lineRule="auto"/>
      <w:outlineLvl w:val="3"/>
    </w:pPr>
    <w:rPr>
      <w:rFonts w:ascii="Arial" w:hAnsi="Arial" w:eastAsia="黑体"/>
      <w:b/>
      <w:sz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7">
    <w:name w:val="Normal Indent"/>
    <w:basedOn w:val="1"/>
    <w:qFormat/>
    <w:uiPriority w:val="0"/>
    <w:pPr>
      <w:spacing w:after="50" w:afterLines="50" w:line="360" w:lineRule="auto"/>
      <w:ind w:firstLine="420" w:firstLineChars="200"/>
    </w:pPr>
    <w:rPr>
      <w:rFonts w:ascii="Calibri" w:hAnsi="Calibri"/>
    </w:rPr>
  </w:style>
  <w:style w:type="paragraph" w:styleId="8">
    <w:name w:val="footer"/>
    <w:basedOn w:val="1"/>
    <w:unhideWhenUsed/>
    <w:qFormat/>
    <w:uiPriority w:val="99"/>
    <w:pPr>
      <w:tabs>
        <w:tab w:val="center" w:pos="4153"/>
        <w:tab w:val="right" w:pos="8306"/>
      </w:tabs>
      <w:snapToGrid w:val="0"/>
    </w:pPr>
    <w:rPr>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2">
    <w:name w:val="Table Grid"/>
    <w:basedOn w:val="11"/>
    <w:qFormat/>
    <w:uiPriority w:val="59"/>
    <w:pPr>
      <w:spacing w:before="20" w:beforeLines="20" w:after="20" w:afterLines="20" w:line="360" w:lineRule="auto"/>
      <w:jc w:val="both"/>
    </w:pPr>
    <w:tblP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
    <w:tcPr>
      <w:shd w:val="clear" w:color="auto" w:fill="FFFFFF" w:themeFill="background1"/>
      <w:vAlign w:val="center"/>
    </w:tcPr>
    <w:tblStylePr w:type="firstRow">
      <w:pPr>
        <w:wordWrap/>
        <w:spacing w:line="360" w:lineRule="auto"/>
        <w:jc w:val="center"/>
      </w:pPr>
      <w:rPr>
        <w:rFonts w:ascii="Times New Roman" w:hAnsi="Times New Roman" w:eastAsiaTheme="minorEastAsia"/>
        <w:b/>
        <w:sz w:val="24"/>
      </w:rPr>
      <w:tcPr>
        <w:shd w:val="clear" w:color="auto" w:fill="D8D8D8" w:themeFill="background1" w:themeFillShade="D9"/>
      </w:tcPr>
    </w:tblStylePr>
  </w:style>
  <w:style w:type="character" w:styleId="14">
    <w:name w:val="Strong"/>
    <w:basedOn w:val="13"/>
    <w:qFormat/>
    <w:uiPriority w:val="22"/>
    <w:rPr>
      <w:b/>
      <w:bCs/>
    </w:rPr>
  </w:style>
  <w:style w:type="character" w:styleId="15">
    <w:name w:val="Hyperlink"/>
    <w:basedOn w:val="13"/>
    <w:semiHidden/>
    <w:unhideWhenUsed/>
    <w:qFormat/>
    <w:uiPriority w:val="99"/>
    <w:rPr>
      <w:color w:val="0000FF"/>
      <w:u w:val="single"/>
    </w:rPr>
  </w:style>
  <w:style w:type="paragraph" w:customStyle="1" w:styleId="16">
    <w:name w:val="table"/>
    <w:basedOn w:val="1"/>
    <w:qFormat/>
    <w:uiPriority w:val="0"/>
    <w:pPr>
      <w:widowControl/>
      <w:overflowPunct w:val="0"/>
      <w:autoSpaceDE w:val="0"/>
      <w:autoSpaceDN w:val="0"/>
      <w:adjustRightInd w:val="0"/>
      <w:spacing w:before="60" w:after="60"/>
      <w:jc w:val="center"/>
      <w:textAlignment w:val="baseline"/>
    </w:pPr>
    <w:rPr>
      <w:rFonts w:ascii="仿宋体" w:eastAsia="仿宋体"/>
      <w:kern w:val="0"/>
      <w:sz w:val="24"/>
      <w:szCs w:val="20"/>
    </w:rPr>
  </w:style>
  <w:style w:type="character" w:customStyle="1" w:styleId="17">
    <w:name w:val="标题 1 字符"/>
    <w:basedOn w:val="13"/>
    <w:link w:val="3"/>
    <w:qFormat/>
    <w:uiPriority w:val="9"/>
    <w:rPr>
      <w:rFonts w:ascii="Times New Roman" w:hAnsi="Times New Roman" w:eastAsia="宋体" w:cs="Times New Roman"/>
      <w:b/>
      <w:bCs/>
      <w:kern w:val="44"/>
      <w:sz w:val="32"/>
      <w:szCs w:val="44"/>
    </w:rPr>
  </w:style>
  <w:style w:type="paragraph" w:styleId="18">
    <w:name w:val="List Paragraph"/>
    <w:basedOn w:val="1"/>
    <w:qFormat/>
    <w:uiPriority w:val="34"/>
    <w:pPr>
      <w:ind w:firstLine="420" w:firstLineChars="200"/>
    </w:pPr>
  </w:style>
  <w:style w:type="paragraph" w:customStyle="1" w:styleId="19">
    <w:name w:val="Default"/>
    <w:qFormat/>
    <w:uiPriority w:val="0"/>
    <w:pPr>
      <w:widowControl w:val="0"/>
      <w:autoSpaceDE w:val="0"/>
      <w:autoSpaceDN w:val="0"/>
      <w:adjustRightInd w:val="0"/>
    </w:pPr>
    <w:rPr>
      <w:rFonts w:ascii="LKHHE B+ Palatino" w:hAnsi="Times New Roman" w:eastAsia="LKHHE B+ Palatino" w:cs="LKHHE B+ Palatino"/>
      <w:color w:val="000000"/>
      <w:sz w:val="24"/>
      <w:szCs w:val="24"/>
      <w:lang w:val="en-US" w:eastAsia="zh-CN" w:bidi="ar-SA"/>
    </w:rPr>
  </w:style>
  <w:style w:type="paragraph" w:customStyle="1" w:styleId="20">
    <w:name w:val="正文360首行缩进"/>
    <w:basedOn w:val="1"/>
    <w:link w:val="21"/>
    <w:qFormat/>
    <w:uiPriority w:val="0"/>
    <w:pPr>
      <w:widowControl/>
      <w:spacing w:after="50" w:line="300" w:lineRule="auto"/>
      <w:ind w:firstLine="200" w:firstLineChars="200"/>
      <w:jc w:val="left"/>
    </w:pPr>
    <w:rPr>
      <w:rFonts w:ascii="Arial" w:hAnsi="Arial" w:eastAsia="等线"/>
      <w:kern w:val="0"/>
      <w:szCs w:val="21"/>
    </w:rPr>
  </w:style>
  <w:style w:type="character" w:customStyle="1" w:styleId="21">
    <w:name w:val="正文360首行缩进 Char"/>
    <w:link w:val="20"/>
    <w:qFormat/>
    <w:uiPriority w:val="0"/>
    <w:rPr>
      <w:rFonts w:ascii="Arial" w:hAnsi="Arial" w:eastAsia="等线" w:cs="Times New Roman"/>
      <w:kern w:val="0"/>
      <w:sz w:val="21"/>
      <w:szCs w:val="21"/>
    </w:rPr>
  </w:style>
  <w:style w:type="character" w:customStyle="1" w:styleId="22">
    <w:name w:val="标题 2 字符"/>
    <w:basedOn w:val="13"/>
    <w:link w:val="4"/>
    <w:qFormat/>
    <w:uiPriority w:val="9"/>
    <w:rPr>
      <w:rFonts w:eastAsia="宋体" w:asciiTheme="majorHAnsi" w:hAnsiTheme="majorHAnsi" w:cstheme="majorBidi"/>
      <w:b/>
      <w:bCs/>
      <w:sz w:val="30"/>
      <w:szCs w:val="32"/>
    </w:rPr>
  </w:style>
  <w:style w:type="paragraph" w:customStyle="1" w:styleId="23">
    <w:name w:val="正文-奇安信"/>
    <w:basedOn w:val="1"/>
    <w:qFormat/>
    <w:uiPriority w:val="0"/>
    <w:pPr>
      <w:ind w:firstLine="420"/>
    </w:pPr>
    <w:rPr>
      <w:rFonts w:eastAsia="仿宋"/>
      <w:sz w:val="24"/>
      <w:szCs w:val="20"/>
    </w:rPr>
  </w:style>
  <w:style w:type="paragraph" w:customStyle="1" w:styleId="24">
    <w:name w:val="Table Paragraph"/>
    <w:basedOn w:val="1"/>
    <w:qFormat/>
    <w:uiPriority w:val="1"/>
    <w:rPr>
      <w:rFonts w:ascii="新宋体" w:hAnsi="新宋体" w:eastAsia="新宋体" w:cs="新宋体"/>
      <w:lang w:val="zh-CN" w:bidi="zh-CN"/>
    </w:rPr>
  </w:style>
  <w:style w:type="paragraph" w:customStyle="1" w:styleId="25">
    <w:name w:val="列出段落1"/>
    <w:basedOn w:val="1"/>
    <w:qFormat/>
    <w:uiPriority w:val="0"/>
    <w:pPr>
      <w:ind w:firstLine="420" w:firstLineChars="200"/>
    </w:pPr>
    <w:rPr>
      <w:rFonts w:ascii="Tahoma" w:hAnsi="Tahoma" w:cs="Tahoma"/>
      <w:kern w:val="0"/>
      <w:sz w:val="20"/>
      <w:szCs w:val="20"/>
    </w:rPr>
  </w:style>
  <w:style w:type="paragraph" w:customStyle="1" w:styleId="26">
    <w:name w:val="List Paragraph1"/>
    <w:basedOn w:val="1"/>
    <w:qFormat/>
    <w:uiPriority w:val="0"/>
    <w:pPr>
      <w:ind w:firstLine="420" w:firstLineChars="200"/>
    </w:pPr>
    <w:rPr>
      <w:rFonts w:ascii="Tahoma" w:hAnsi="Tahoma" w:cs="Tahoma"/>
      <w:kern w:val="0"/>
      <w:sz w:val="20"/>
      <w:szCs w:val="20"/>
    </w:rPr>
  </w:style>
  <w:style w:type="paragraph" w:customStyle="1" w:styleId="27">
    <w:name w:val="List Paragraph2"/>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1215</Words>
  <Characters>1504</Characters>
  <Lines>5</Lines>
  <Paragraphs>1</Paragraphs>
  <TotalTime>2</TotalTime>
  <ScaleCrop>false</ScaleCrop>
  <LinksUpToDate>false</LinksUpToDate>
  <CharactersWithSpaces>1513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2023-10-20T17:39:00Z</dcterms:created>
  <dc:creator>Office365</dc:creator>
  <cp:lastModifiedBy>谭工</cp:lastModifiedBy>
  <dcterms:modified xsi:type="dcterms:W3CDTF">2025-07-14T10:26:55Z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otCYQxs9Dbw2bUEn/Soxv9pYAoWsCRIsU8+gIbxzzmNcJN13+qHIPyWmbF9hFzPHyi2m8DLwi54E5OVVM5pJ0yGmgAiYTaR6oYUdYZxdjep6I9xviFUFZ9aTScfBW9OGBuKtCMU8Y2lGnN4iQE0T5LzWjiQWbcL1x52B3J61DiWh4ig5i5ssc8rfPzzNsSSbtAu/vWqouhmc7Zwsa+BNOjwDSZgzJ/UxufYbs/2f/NxAmnq7hvtUSz04n3bVQHE</vt:lpwstr>
  </property>
  <property fmtid="{D5CDD505-2E9C-101B-9397-08002B2CF9AE}" pid="3" name="KSOProductBuildVer">
    <vt:lpwstr>2052-12.1.0.21915</vt:lpwstr>
  </property>
  <property fmtid="{D5CDD505-2E9C-101B-9397-08002B2CF9AE}" pid="4" name="ICV">
    <vt:lpwstr>44CCC08E4FBF43C5B2688493399D2F41_13</vt:lpwstr>
  </property>
  <property fmtid="{D5CDD505-2E9C-101B-9397-08002B2CF9AE}" pid="5" name="KSOTemplateDocerSaveRecord">
    <vt:lpwstr>eyJoZGlkIjoiMmFmODZiODVhMDQzNGFmOGExNzkxODYyNjc1ZTgyODAiLCJ1c2VySWQiOiIxMjc4MzA4NzQ2In0=</vt:lpwstr>
  </property>
</Properties>
</file>