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0A174">
      <w:pPr>
        <w:spacing w:before="240" w:line="227" w:lineRule="auto"/>
        <w:ind w:left="879"/>
        <w:outlineLvl w:val="0"/>
        <w:rPr>
          <w:rFonts w:hint="eastAsia" w:ascii="宋体" w:hAnsi="宋体" w:eastAsia="宋体" w:cs="宋体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spacing w:val="6"/>
          <w:sz w:val="35"/>
          <w:szCs w:val="35"/>
        </w:rPr>
        <w:t>2025 年南广影视数据可视化工具建设项目</w:t>
      </w:r>
    </w:p>
    <w:p w14:paraId="0AB74745">
      <w:pPr>
        <w:spacing w:before="295" w:line="228" w:lineRule="auto"/>
        <w:ind w:left="3274"/>
        <w:outlineLvl w:val="0"/>
        <w:rPr>
          <w:rFonts w:hint="eastAsia" w:ascii="宋体" w:hAnsi="宋体" w:eastAsia="宋体" w:cs="宋体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spacing w:val="5"/>
          <w:sz w:val="35"/>
          <w:szCs w:val="35"/>
        </w:rPr>
        <w:t>采购需求书</w:t>
      </w:r>
    </w:p>
    <w:p w14:paraId="22C15007">
      <w:pPr>
        <w:spacing w:line="448" w:lineRule="auto"/>
        <w:rPr>
          <w:rFonts w:hint="eastAsia" w:ascii="宋体" w:hAnsi="宋体" w:eastAsia="宋体" w:cs="宋体"/>
          <w:sz w:val="21"/>
        </w:rPr>
      </w:pPr>
    </w:p>
    <w:p w14:paraId="1AD7A6EA">
      <w:pPr>
        <w:pStyle w:val="2"/>
        <w:spacing w:before="101" w:line="225" w:lineRule="auto"/>
        <w:ind w:left="31"/>
        <w:outlineLvl w:val="0"/>
        <w:rPr>
          <w:rFonts w:hint="eastAsia"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spacing w:val="6"/>
          <w:sz w:val="31"/>
          <w:szCs w:val="31"/>
        </w:rPr>
        <w:t>一、</w:t>
      </w:r>
      <w:r>
        <w:rPr>
          <w:rFonts w:hint="eastAsia" w:ascii="宋体" w:hAnsi="宋体" w:eastAsia="宋体" w:cs="宋体"/>
          <w:b/>
          <w:bCs/>
          <w:spacing w:val="6"/>
          <w:sz w:val="31"/>
          <w:szCs w:val="31"/>
        </w:rPr>
        <w:t>项目背景与目标</w:t>
      </w:r>
    </w:p>
    <w:p w14:paraId="3738901C">
      <w:pPr>
        <w:spacing w:line="242" w:lineRule="auto"/>
        <w:rPr>
          <w:rFonts w:hint="eastAsia" w:ascii="宋体" w:hAnsi="宋体" w:eastAsia="宋体" w:cs="宋体"/>
          <w:sz w:val="21"/>
        </w:rPr>
      </w:pPr>
    </w:p>
    <w:p w14:paraId="127DCBCC">
      <w:pPr>
        <w:spacing w:line="242" w:lineRule="auto"/>
        <w:rPr>
          <w:rFonts w:hint="eastAsia" w:ascii="宋体" w:hAnsi="宋体" w:eastAsia="宋体" w:cs="宋体"/>
          <w:sz w:val="21"/>
        </w:rPr>
      </w:pPr>
    </w:p>
    <w:p w14:paraId="07B8D262">
      <w:pPr>
        <w:pStyle w:val="2"/>
        <w:spacing w:before="98" w:line="219" w:lineRule="auto"/>
        <w:ind w:left="41"/>
        <w:outlineLvl w:val="1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pacing w:val="-10"/>
          <w:sz w:val="30"/>
          <w:szCs w:val="30"/>
        </w:rPr>
        <w:t>1.</w:t>
      </w:r>
      <w:r>
        <w:rPr>
          <w:rFonts w:hint="eastAsia" w:ascii="宋体" w:hAnsi="宋体" w:eastAsia="宋体" w:cs="宋体"/>
          <w:spacing w:val="16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b/>
          <w:bCs/>
          <w:spacing w:val="-10"/>
          <w:sz w:val="30"/>
          <w:szCs w:val="30"/>
        </w:rPr>
        <w:t>项目背景</w:t>
      </w:r>
    </w:p>
    <w:p w14:paraId="2BF90EA5">
      <w:pPr>
        <w:spacing w:line="397" w:lineRule="auto"/>
        <w:rPr>
          <w:rFonts w:hint="eastAsia" w:ascii="宋体" w:hAnsi="宋体" w:eastAsia="宋体" w:cs="宋体"/>
          <w:sz w:val="21"/>
        </w:rPr>
      </w:pPr>
    </w:p>
    <w:p w14:paraId="69343E3B">
      <w:pPr>
        <w:pStyle w:val="2"/>
        <w:spacing w:before="78" w:line="354" w:lineRule="auto"/>
        <w:ind w:left="23" w:right="35" w:firstLine="493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4"/>
        </w:rPr>
        <w:t>随着</w:t>
      </w:r>
      <w:r>
        <w:rPr>
          <w:rFonts w:hint="eastAsia" w:ascii="宋体" w:hAnsi="宋体" w:eastAsia="宋体" w:cs="宋体"/>
          <w:spacing w:val="-4"/>
          <w:lang w:eastAsia="zh-CN"/>
        </w:rPr>
        <w:t>广东南广影视互动技术有限公司</w:t>
      </w:r>
      <w:r>
        <w:rPr>
          <w:rFonts w:hint="eastAsia" w:ascii="宋体" w:hAnsi="宋体" w:eastAsia="宋体" w:cs="宋体"/>
          <w:spacing w:val="-4"/>
        </w:rPr>
        <w:t>业务规模的不断扩张及数字化转型的深入推进，各部门所需处理的</w:t>
      </w:r>
      <w:r>
        <w:rPr>
          <w:rFonts w:hint="eastAsia" w:ascii="宋体" w:hAnsi="宋体" w:eastAsia="宋体" w:cs="宋体"/>
          <w:spacing w:val="-3"/>
        </w:rPr>
        <w:t>数据量持续增长，数据呈现方式亦趋向多元化。目前主要采用基础图表进行数据展示，数据呈现能力面临以下限</w:t>
      </w:r>
      <w:r>
        <w:rPr>
          <w:rFonts w:hint="eastAsia" w:ascii="宋体" w:hAnsi="宋体" w:eastAsia="宋体" w:cs="宋体"/>
          <w:spacing w:val="-5"/>
        </w:rPr>
        <w:t>制：</w:t>
      </w:r>
    </w:p>
    <w:p w14:paraId="4A3B0D4A">
      <w:pPr>
        <w:pStyle w:val="2"/>
        <w:spacing w:before="133" w:line="290" w:lineRule="auto"/>
        <w:ind w:left="25" w:right="37" w:firstLine="5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(1)展示平台分散：业务系统的数据展示平台分布广泛，缺乏统一的分析与展示平台，导致查询效率低下。</w:t>
      </w:r>
    </w:p>
    <w:p w14:paraId="193FB802">
      <w:pPr>
        <w:pStyle w:val="2"/>
        <w:spacing w:before="280" w:line="290" w:lineRule="auto"/>
        <w:ind w:left="24" w:right="37" w:firstLine="52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(2)决策依赖人工：传统报表制作过程耗时且滞后，使用部门难以及时获取动态的业务洞察，影响战略决策效率。</w:t>
      </w:r>
    </w:p>
    <w:p w14:paraId="09AF5551">
      <w:pPr>
        <w:pStyle w:val="2"/>
        <w:spacing w:before="283" w:line="289" w:lineRule="auto"/>
        <w:ind w:left="28" w:right="37" w:firstLine="51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(3)可视化能力薄弱：现有工具仅支持基础图表的展示，无法满足多维度和交互式分析的需求，导致数据价值挖掘不够充分。</w:t>
      </w:r>
    </w:p>
    <w:p w14:paraId="073D920B">
      <w:pPr>
        <w:pStyle w:val="2"/>
        <w:spacing w:before="283" w:line="355" w:lineRule="auto"/>
        <w:ind w:left="23" w:firstLine="482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2"/>
        </w:rPr>
        <w:t>为了实现多源数据整合与看板展示，实现经营决策的敏捷响应</w:t>
      </w:r>
      <w:r>
        <w:rPr>
          <w:rFonts w:hint="eastAsia" w:ascii="宋体" w:hAnsi="宋体" w:eastAsia="宋体" w:cs="宋体"/>
          <w:spacing w:val="-3"/>
        </w:rPr>
        <w:t>与协同增效，现决定引入数据可视化工具。此举旨在打破当前数据展示的局限性，创建多样化的业务报告，为相关部门提供跟踪运营效果并实施调整措施的手段，促进跨部门之间的数据共享与合作，进一步提升整体运营效率，同时为</w:t>
      </w:r>
      <w:r>
        <w:rPr>
          <w:rFonts w:hint="eastAsia" w:ascii="宋体" w:hAnsi="宋体" w:eastAsia="宋体" w:cs="宋体"/>
          <w:spacing w:val="-3"/>
          <w:lang w:eastAsia="zh-CN"/>
        </w:rPr>
        <w:t>广东南广影视互动技术有限公司</w:t>
      </w:r>
      <w:r>
        <w:rPr>
          <w:rFonts w:hint="eastAsia" w:ascii="宋体" w:hAnsi="宋体" w:eastAsia="宋体" w:cs="宋体"/>
          <w:spacing w:val="-3"/>
        </w:rPr>
        <w:t>实现经营目标提供保障。</w:t>
      </w:r>
    </w:p>
    <w:p w14:paraId="7DBA34CF">
      <w:pPr>
        <w:spacing w:line="242" w:lineRule="auto"/>
        <w:rPr>
          <w:rFonts w:hint="eastAsia" w:ascii="宋体" w:hAnsi="宋体" w:eastAsia="宋体" w:cs="宋体"/>
          <w:sz w:val="21"/>
        </w:rPr>
      </w:pPr>
    </w:p>
    <w:p w14:paraId="16E80BCC">
      <w:pPr>
        <w:pStyle w:val="2"/>
        <w:spacing w:before="98" w:line="220" w:lineRule="auto"/>
        <w:ind w:left="33"/>
        <w:outlineLvl w:val="1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pacing w:val="-9"/>
          <w:sz w:val="30"/>
          <w:szCs w:val="30"/>
        </w:rPr>
        <w:t>2.</w:t>
      </w:r>
      <w:r>
        <w:rPr>
          <w:rFonts w:hint="eastAsia" w:ascii="宋体" w:hAnsi="宋体" w:eastAsia="宋体" w:cs="宋体"/>
          <w:spacing w:val="17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b/>
          <w:bCs/>
          <w:spacing w:val="-9"/>
          <w:sz w:val="30"/>
          <w:szCs w:val="30"/>
        </w:rPr>
        <w:t>项目目标</w:t>
      </w:r>
    </w:p>
    <w:p w14:paraId="75BF8E06">
      <w:pPr>
        <w:spacing w:line="363" w:lineRule="auto"/>
        <w:rPr>
          <w:rFonts w:hint="eastAsia" w:ascii="宋体" w:hAnsi="宋体" w:eastAsia="宋体" w:cs="宋体"/>
          <w:sz w:val="21"/>
        </w:rPr>
      </w:pPr>
    </w:p>
    <w:p w14:paraId="05041A09">
      <w:pPr>
        <w:pStyle w:val="2"/>
        <w:numPr>
          <w:ilvl w:val="0"/>
          <w:numId w:val="1"/>
        </w:numPr>
        <w:spacing w:before="79" w:line="303" w:lineRule="auto"/>
        <w:ind w:left="420" w:leftChars="0" w:right="37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2"/>
        </w:rPr>
        <w:t>打破数据壁垒：整合</w:t>
      </w:r>
      <w:r>
        <w:rPr>
          <w:rFonts w:hint="eastAsia" w:ascii="宋体" w:hAnsi="宋体" w:eastAsia="宋体" w:cs="宋体"/>
        </w:rPr>
        <w:t>hive</w:t>
      </w:r>
      <w:r>
        <w:rPr>
          <w:rFonts w:hint="eastAsia" w:ascii="宋体" w:hAnsi="宋体" w:eastAsia="宋体" w:cs="宋体"/>
          <w:spacing w:val="-29"/>
        </w:rPr>
        <w:t xml:space="preserve"> </w:t>
      </w:r>
      <w:r>
        <w:rPr>
          <w:rFonts w:hint="eastAsia" w:ascii="宋体" w:hAnsi="宋体" w:eastAsia="宋体" w:cs="宋体"/>
          <w:spacing w:val="2"/>
        </w:rPr>
        <w:t>、</w:t>
      </w:r>
      <w:r>
        <w:rPr>
          <w:rFonts w:hint="eastAsia" w:ascii="宋体" w:hAnsi="宋体" w:eastAsia="宋体" w:cs="宋体"/>
        </w:rPr>
        <w:t>mysql</w:t>
      </w:r>
      <w:r>
        <w:rPr>
          <w:rFonts w:hint="eastAsia" w:ascii="宋体" w:hAnsi="宋体" w:eastAsia="宋体" w:cs="宋体"/>
          <w:spacing w:val="2"/>
        </w:rPr>
        <w:t>、外部</w:t>
      </w:r>
      <w:r>
        <w:rPr>
          <w:rFonts w:hint="eastAsia" w:ascii="宋体" w:hAnsi="宋体" w:eastAsia="宋体" w:cs="宋体"/>
        </w:rPr>
        <w:t>API</w:t>
      </w:r>
      <w:r>
        <w:rPr>
          <w:rFonts w:hint="eastAsia" w:ascii="宋体" w:hAnsi="宋体" w:eastAsia="宋体" w:cs="宋体"/>
          <w:spacing w:val="2"/>
        </w:rPr>
        <w:t>等多源数据，</w:t>
      </w:r>
      <w:r>
        <w:rPr>
          <w:rFonts w:hint="eastAsia" w:ascii="宋体" w:hAnsi="宋体" w:eastAsia="宋体" w:cs="宋体"/>
          <w:spacing w:val="1"/>
        </w:rPr>
        <w:t>构建统一、高效</w:t>
      </w:r>
      <w:r>
        <w:rPr>
          <w:rFonts w:hint="eastAsia" w:ascii="宋体" w:hAnsi="宋体" w:eastAsia="宋体" w:cs="宋体"/>
          <w:spacing w:val="-3"/>
        </w:rPr>
        <w:t>数据集。</w:t>
      </w:r>
    </w:p>
    <w:p w14:paraId="6446494A">
      <w:pPr>
        <w:pStyle w:val="2"/>
        <w:numPr>
          <w:ilvl w:val="0"/>
          <w:numId w:val="1"/>
        </w:numPr>
        <w:spacing w:before="123" w:line="219" w:lineRule="auto"/>
        <w:ind w:left="420" w:leftChars="0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2"/>
        </w:rPr>
        <w:t>赋能业务决策：提供快速、交互式的可视化分析工具，以支持管理层和业务</w:t>
      </w:r>
      <w:r>
        <w:rPr>
          <w:rFonts w:hint="eastAsia" w:ascii="宋体" w:hAnsi="宋体" w:eastAsia="宋体" w:cs="宋体"/>
          <w:spacing w:val="-1"/>
        </w:rPr>
        <w:t>人员进行自助式的数据探索。</w:t>
      </w:r>
    </w:p>
    <w:p w14:paraId="23E4709B">
      <w:pPr>
        <w:pStyle w:val="2"/>
        <w:numPr>
          <w:ilvl w:val="0"/>
          <w:numId w:val="1"/>
        </w:numPr>
        <w:spacing w:before="173" w:line="239" w:lineRule="auto"/>
        <w:ind w:left="420" w:leftChars="0" w:hanging="420" w:firstLineChars="0"/>
        <w:rPr>
          <w:rFonts w:hint="eastAsia" w:ascii="宋体" w:hAnsi="宋体" w:eastAsia="宋体" w:cs="宋体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-1"/>
        </w:rPr>
        <w:t>提高运营效率：缩短报表的生成时间，减轻产品部门的重复性工作负担。</w:t>
      </w:r>
    </w:p>
    <w:p w14:paraId="71C2D217">
      <w:pPr>
        <w:spacing w:line="444" w:lineRule="auto"/>
        <w:rPr>
          <w:rFonts w:hint="eastAsia" w:ascii="宋体" w:hAnsi="宋体" w:eastAsia="宋体" w:cs="宋体"/>
          <w:sz w:val="21"/>
        </w:rPr>
      </w:pPr>
    </w:p>
    <w:p w14:paraId="63D77CB0">
      <w:pPr>
        <w:pStyle w:val="2"/>
        <w:spacing w:before="101" w:line="224" w:lineRule="auto"/>
        <w:ind w:left="135"/>
        <w:outlineLvl w:val="0"/>
        <w:rPr>
          <w:rFonts w:hint="eastAsia"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spacing w:val="6"/>
          <w:sz w:val="31"/>
          <w:szCs w:val="31"/>
        </w:rPr>
        <w:t>二、</w:t>
      </w:r>
      <w:r>
        <w:rPr>
          <w:rFonts w:hint="eastAsia" w:ascii="宋体" w:hAnsi="宋体" w:eastAsia="宋体" w:cs="宋体"/>
          <w:b/>
          <w:bCs/>
          <w:spacing w:val="6"/>
          <w:sz w:val="31"/>
          <w:szCs w:val="31"/>
        </w:rPr>
        <w:t>采购范围与要求</w:t>
      </w:r>
    </w:p>
    <w:p w14:paraId="0808DC15">
      <w:pPr>
        <w:spacing w:line="242" w:lineRule="auto"/>
        <w:rPr>
          <w:rFonts w:hint="eastAsia" w:ascii="宋体" w:hAnsi="宋体" w:eastAsia="宋体" w:cs="宋体"/>
          <w:sz w:val="21"/>
        </w:rPr>
      </w:pPr>
    </w:p>
    <w:p w14:paraId="631B7ABC">
      <w:pPr>
        <w:spacing w:line="243" w:lineRule="auto"/>
        <w:rPr>
          <w:rFonts w:hint="eastAsia" w:ascii="宋体" w:hAnsi="宋体" w:eastAsia="宋体" w:cs="宋体"/>
          <w:sz w:val="21"/>
        </w:rPr>
      </w:pPr>
    </w:p>
    <w:p w14:paraId="2F02D59A">
      <w:pPr>
        <w:pStyle w:val="2"/>
        <w:spacing w:before="97" w:line="220" w:lineRule="auto"/>
        <w:ind w:left="145"/>
        <w:outlineLvl w:val="1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pacing w:val="-8"/>
          <w:sz w:val="30"/>
          <w:szCs w:val="30"/>
        </w:rPr>
        <w:t>1.</w:t>
      </w:r>
      <w:r>
        <w:rPr>
          <w:rFonts w:hint="eastAsia" w:ascii="宋体" w:hAnsi="宋体" w:eastAsia="宋体" w:cs="宋体"/>
          <w:spacing w:val="16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b/>
          <w:bCs/>
          <w:spacing w:val="-8"/>
          <w:sz w:val="30"/>
          <w:szCs w:val="30"/>
        </w:rPr>
        <w:t>具体需求描述</w:t>
      </w:r>
    </w:p>
    <w:p w14:paraId="68ABC7FF">
      <w:pPr>
        <w:spacing w:line="397" w:lineRule="auto"/>
        <w:rPr>
          <w:rFonts w:hint="eastAsia" w:ascii="宋体" w:hAnsi="宋体" w:eastAsia="宋体" w:cs="宋体"/>
          <w:sz w:val="21"/>
        </w:rPr>
      </w:pPr>
    </w:p>
    <w:p w14:paraId="4BE623AD">
      <w:pPr>
        <w:pStyle w:val="2"/>
        <w:spacing w:before="78" w:line="219" w:lineRule="auto"/>
        <w:ind w:left="607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本次采购的数据可视化工具需满足以下核心需求：</w:t>
      </w:r>
    </w:p>
    <w:p w14:paraId="28515ED1">
      <w:pPr>
        <w:spacing w:line="68" w:lineRule="exact"/>
        <w:rPr>
          <w:rFonts w:hint="eastAsia" w:ascii="宋体" w:hAnsi="宋体" w:eastAsia="宋体" w:cs="宋体"/>
        </w:rPr>
      </w:pPr>
    </w:p>
    <w:tbl>
      <w:tblPr>
        <w:tblStyle w:val="5"/>
        <w:tblW w:w="852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1"/>
        <w:gridCol w:w="4263"/>
      </w:tblGrid>
      <w:tr w14:paraId="08D87F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4261" w:type="dxa"/>
            <w:shd w:val="clear" w:color="auto" w:fill="92D050"/>
            <w:vAlign w:val="top"/>
          </w:tcPr>
          <w:p w14:paraId="2EF0A22F">
            <w:pPr>
              <w:pStyle w:val="6"/>
              <w:spacing w:before="299" w:line="228" w:lineRule="auto"/>
              <w:ind w:left="192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模块</w:t>
            </w:r>
          </w:p>
        </w:tc>
        <w:tc>
          <w:tcPr>
            <w:tcW w:w="4263" w:type="dxa"/>
            <w:shd w:val="clear" w:color="auto" w:fill="92D050"/>
            <w:vAlign w:val="top"/>
          </w:tcPr>
          <w:p w14:paraId="3E536F95">
            <w:pPr>
              <w:pStyle w:val="6"/>
              <w:spacing w:before="299" w:line="229" w:lineRule="auto"/>
              <w:ind w:left="17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详细描述</w:t>
            </w:r>
          </w:p>
        </w:tc>
      </w:tr>
      <w:tr w14:paraId="4F3B1F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6" w:hRule="atLeast"/>
        </w:trPr>
        <w:tc>
          <w:tcPr>
            <w:tcW w:w="4261" w:type="dxa"/>
            <w:vAlign w:val="top"/>
          </w:tcPr>
          <w:p w14:paraId="1F8AA0A6">
            <w:pPr>
              <w:spacing w:line="242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9A00466">
            <w:pPr>
              <w:spacing w:line="242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F220D58">
            <w:pPr>
              <w:spacing w:line="24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20807F74">
            <w:pPr>
              <w:spacing w:line="24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2003CDB">
            <w:pPr>
              <w:spacing w:line="24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FABEE0D">
            <w:pPr>
              <w:spacing w:line="24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9CD141B">
            <w:pPr>
              <w:pStyle w:val="6"/>
              <w:spacing w:before="65" w:line="228" w:lineRule="auto"/>
              <w:ind w:left="160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7"/>
              </w:rPr>
              <w:t>可视化组件</w:t>
            </w:r>
          </w:p>
        </w:tc>
        <w:tc>
          <w:tcPr>
            <w:tcW w:w="4263" w:type="dxa"/>
            <w:vAlign w:val="top"/>
          </w:tcPr>
          <w:p w14:paraId="3258BC5E">
            <w:pPr>
              <w:pStyle w:val="6"/>
              <w:spacing w:before="126" w:line="417" w:lineRule="auto"/>
              <w:ind w:left="108" w:right="157" w:firstLine="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9"/>
              </w:rPr>
              <w:t>提供可视化效果和易用操作，包括多种图表</w:t>
            </w:r>
            <w:r>
              <w:rPr>
                <w:rFonts w:hint="eastAsia" w:ascii="宋体" w:hAnsi="宋体" w:eastAsia="宋体" w:cs="宋体"/>
                <w:spacing w:val="8"/>
              </w:rPr>
              <w:t>样式和自定义报告主题。</w:t>
            </w:r>
          </w:p>
          <w:p w14:paraId="0065F311">
            <w:pPr>
              <w:pStyle w:val="6"/>
              <w:spacing w:before="33" w:line="223" w:lineRule="auto"/>
              <w:ind w:left="11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9"/>
              </w:rPr>
              <w:t>（1）支持主流关系数据库如</w:t>
            </w:r>
            <w:r>
              <w:rPr>
                <w:rFonts w:hint="eastAsia" w:ascii="宋体" w:hAnsi="宋体" w:eastAsia="宋体" w:cs="宋体"/>
                <w:spacing w:val="-45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MySQL</w:t>
            </w:r>
            <w:r>
              <w:rPr>
                <w:rFonts w:hint="eastAsia" w:ascii="宋体" w:hAnsi="宋体" w:eastAsia="宋体" w:cs="宋体"/>
                <w:spacing w:val="9"/>
              </w:rPr>
              <w:t>、</w:t>
            </w:r>
          </w:p>
          <w:p w14:paraId="29891435">
            <w:pPr>
              <w:pStyle w:val="6"/>
              <w:spacing w:before="225" w:line="417" w:lineRule="auto"/>
              <w:ind w:left="109" w:right="10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SQLServer</w:t>
            </w:r>
            <w:r>
              <w:rPr>
                <w:rFonts w:hint="eastAsia" w:ascii="宋体" w:hAnsi="宋体" w:eastAsia="宋体" w:cs="宋体"/>
                <w:spacing w:val="-37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2"/>
              </w:rPr>
              <w:t>等的数据源连接，为</w:t>
            </w:r>
            <w:r>
              <w:rPr>
                <w:rFonts w:hint="eastAsia" w:ascii="宋体" w:hAnsi="宋体" w:eastAsia="宋体" w:cs="宋体"/>
                <w:spacing w:val="-37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Java</w:t>
            </w:r>
            <w:r>
              <w:rPr>
                <w:rFonts w:hint="eastAsia" w:ascii="宋体" w:hAnsi="宋体" w:eastAsia="宋体" w:cs="宋体"/>
                <w:spacing w:val="-4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2"/>
              </w:rPr>
              <w:t>应用提</w:t>
            </w:r>
            <w:r>
              <w:rPr>
                <w:rFonts w:hint="eastAsia" w:ascii="宋体" w:hAnsi="宋体" w:eastAsia="宋体" w:cs="宋体"/>
                <w:spacing w:val="11"/>
              </w:rPr>
              <w:t>供</w:t>
            </w:r>
            <w:r>
              <w:rPr>
                <w:rFonts w:hint="eastAsia" w:ascii="宋体" w:hAnsi="宋体" w:eastAsia="宋体" w:cs="宋体"/>
                <w:spacing w:val="-41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RESTful</w:t>
            </w:r>
            <w:r>
              <w:rPr>
                <w:rFonts w:hint="eastAsia" w:ascii="宋体" w:hAnsi="宋体" w:eastAsia="宋体" w:cs="宋体"/>
                <w:spacing w:val="11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API</w:t>
            </w:r>
            <w:r>
              <w:rPr>
                <w:rFonts w:hint="eastAsia" w:ascii="宋体" w:hAnsi="宋体" w:eastAsia="宋体" w:cs="宋体"/>
                <w:spacing w:val="-4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1"/>
              </w:rPr>
              <w:t>进行数据访问。</w:t>
            </w:r>
          </w:p>
          <w:p w14:paraId="7FE3AE16">
            <w:pPr>
              <w:pStyle w:val="6"/>
              <w:spacing w:before="32" w:line="369" w:lineRule="auto"/>
              <w:ind w:left="109" w:right="104" w:firstLine="1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（2）实现多维分析互动，包括数据聚合、同</w:t>
            </w:r>
            <w:r>
              <w:rPr>
                <w:rFonts w:hint="eastAsia" w:ascii="宋体" w:hAnsi="宋体" w:eastAsia="宋体" w:cs="宋体"/>
                <w:spacing w:val="8"/>
              </w:rPr>
              <w:t>环比分析、数据过滤、联动分析等。</w:t>
            </w:r>
          </w:p>
        </w:tc>
      </w:tr>
      <w:tr w14:paraId="4C6036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7" w:hRule="atLeast"/>
        </w:trPr>
        <w:tc>
          <w:tcPr>
            <w:tcW w:w="4261" w:type="dxa"/>
            <w:vAlign w:val="top"/>
          </w:tcPr>
          <w:p w14:paraId="3BF7BD1F">
            <w:pPr>
              <w:spacing w:line="265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9A89002">
            <w:pPr>
              <w:spacing w:line="265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09D35EA4">
            <w:pPr>
              <w:pStyle w:val="6"/>
              <w:spacing w:before="65" w:line="228" w:lineRule="auto"/>
              <w:ind w:left="1716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智能问数</w:t>
            </w:r>
          </w:p>
        </w:tc>
        <w:tc>
          <w:tcPr>
            <w:tcW w:w="4263" w:type="dxa"/>
            <w:vAlign w:val="top"/>
          </w:tcPr>
          <w:p w14:paraId="05FBC3A7">
            <w:pPr>
              <w:pStyle w:val="6"/>
              <w:spacing w:before="129" w:line="390" w:lineRule="auto"/>
              <w:ind w:left="109" w:right="104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9"/>
              </w:rPr>
              <w:t>基于</w:t>
            </w:r>
            <w:r>
              <w:rPr>
                <w:rFonts w:hint="eastAsia" w:ascii="宋体" w:hAnsi="宋体" w:eastAsia="宋体" w:cs="宋体"/>
              </w:rPr>
              <w:t>AI</w:t>
            </w:r>
            <w:r>
              <w:rPr>
                <w:rFonts w:hint="eastAsia" w:ascii="宋体" w:hAnsi="宋体" w:eastAsia="宋体" w:cs="宋体"/>
                <w:spacing w:val="9"/>
              </w:rPr>
              <w:t>大模型能力，完成通过单轮对话、多轮对话、跨域对话的能力，及时获取业务现</w:t>
            </w:r>
            <w:r>
              <w:rPr>
                <w:rFonts w:hint="eastAsia" w:ascii="宋体" w:hAnsi="宋体" w:eastAsia="宋体" w:cs="宋体"/>
                <w:spacing w:val="8"/>
              </w:rPr>
              <w:t>状，提升业务问题的分析与预测能力。</w:t>
            </w:r>
          </w:p>
        </w:tc>
      </w:tr>
      <w:tr w14:paraId="40CBAA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6" w:hRule="atLeast"/>
        </w:trPr>
        <w:tc>
          <w:tcPr>
            <w:tcW w:w="4261" w:type="dxa"/>
            <w:vAlign w:val="top"/>
          </w:tcPr>
          <w:p w14:paraId="13E5073E">
            <w:pPr>
              <w:spacing w:line="24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9A51FF3">
            <w:pPr>
              <w:spacing w:line="24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FA4265E">
            <w:pPr>
              <w:spacing w:line="244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E38380F">
            <w:pPr>
              <w:spacing w:line="244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286BB10">
            <w:pPr>
              <w:spacing w:line="244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6E622A2F">
            <w:pPr>
              <w:spacing w:line="244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0BBEAA81">
            <w:pPr>
              <w:pStyle w:val="6"/>
              <w:spacing w:before="65" w:line="228" w:lineRule="auto"/>
              <w:ind w:left="173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</w:rPr>
              <w:t>门户功能</w:t>
            </w:r>
          </w:p>
        </w:tc>
        <w:tc>
          <w:tcPr>
            <w:tcW w:w="4263" w:type="dxa"/>
            <w:vAlign w:val="top"/>
          </w:tcPr>
          <w:p w14:paraId="4F3FE47E">
            <w:pPr>
              <w:pStyle w:val="6"/>
              <w:spacing w:before="131" w:line="228" w:lineRule="auto"/>
              <w:ind w:left="11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4"/>
              </w:rPr>
              <w:t>（1）</w:t>
            </w:r>
            <w:r>
              <w:rPr>
                <w:rFonts w:hint="eastAsia" w:ascii="宋体" w:hAnsi="宋体" w:eastAsia="宋体" w:cs="宋体"/>
                <w:spacing w:val="-4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</w:rPr>
              <w:t>门户功能允许自定义设置。</w:t>
            </w:r>
          </w:p>
          <w:p w14:paraId="73CF1E3E">
            <w:pPr>
              <w:pStyle w:val="6"/>
              <w:spacing w:before="221" w:line="364" w:lineRule="auto"/>
              <w:ind w:left="110" w:right="33" w:firstLine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（2）支持三种样式组合：网格、标签、堆栈。</w:t>
            </w:r>
            <w:r>
              <w:rPr>
                <w:rFonts w:hint="eastAsia" w:ascii="宋体" w:hAnsi="宋体" w:eastAsia="宋体" w:cs="宋体"/>
                <w:spacing w:val="9"/>
              </w:rPr>
              <w:t>这些可作为导航或侧栏内容添加到门户，并</w:t>
            </w:r>
            <w:r>
              <w:rPr>
                <w:rFonts w:hint="eastAsia" w:ascii="宋体" w:hAnsi="宋体" w:eastAsia="宋体" w:cs="宋体"/>
                <w:spacing w:val="6"/>
              </w:rPr>
              <w:t>可设为首页。</w:t>
            </w:r>
          </w:p>
          <w:p w14:paraId="00A1773D">
            <w:pPr>
              <w:pStyle w:val="6"/>
              <w:spacing w:before="220" w:line="364" w:lineRule="auto"/>
              <w:ind w:left="110" w:right="104" w:firstLine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（3）可将报告和网页添加到门户，支持综合</w:t>
            </w:r>
            <w:r>
              <w:rPr>
                <w:rFonts w:hint="eastAsia" w:ascii="宋体" w:hAnsi="宋体" w:eastAsia="宋体" w:cs="宋体"/>
                <w:spacing w:val="9"/>
              </w:rPr>
              <w:t>和左右两种布局，可配置</w:t>
            </w:r>
            <w:r>
              <w:rPr>
                <w:rFonts w:hint="eastAsia" w:ascii="宋体" w:hAnsi="宋体" w:eastAsia="宋体" w:cs="宋体"/>
                <w:spacing w:val="-24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logo</w:t>
            </w:r>
            <w:r>
              <w:rPr>
                <w:rFonts w:hint="eastAsia" w:ascii="宋体" w:hAnsi="宋体" w:eastAsia="宋体" w:cs="宋体"/>
                <w:spacing w:val="9"/>
              </w:rPr>
              <w:t>、标题、导航</w:t>
            </w:r>
            <w:r>
              <w:rPr>
                <w:rFonts w:hint="eastAsia" w:ascii="宋体" w:hAnsi="宋体" w:eastAsia="宋体" w:cs="宋体"/>
                <w:spacing w:val="5"/>
              </w:rPr>
              <w:t>和菜单栏。</w:t>
            </w:r>
          </w:p>
        </w:tc>
      </w:tr>
      <w:tr w14:paraId="71C86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5" w:hRule="atLeast"/>
        </w:trPr>
        <w:tc>
          <w:tcPr>
            <w:tcW w:w="4261" w:type="dxa"/>
            <w:vAlign w:val="top"/>
          </w:tcPr>
          <w:p w14:paraId="30A6CEAE">
            <w:pPr>
              <w:spacing w:line="26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41BFC7A">
            <w:pPr>
              <w:spacing w:line="26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248550E2">
            <w:pPr>
              <w:pStyle w:val="6"/>
              <w:spacing w:before="65" w:line="228" w:lineRule="auto"/>
              <w:ind w:left="17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填报功能</w:t>
            </w:r>
          </w:p>
        </w:tc>
        <w:tc>
          <w:tcPr>
            <w:tcW w:w="4263" w:type="dxa"/>
            <w:vAlign w:val="top"/>
          </w:tcPr>
          <w:p w14:paraId="58FF3EC3">
            <w:pPr>
              <w:pStyle w:val="6"/>
              <w:spacing w:before="137" w:line="390" w:lineRule="auto"/>
              <w:ind w:left="109" w:right="157" w:firstLine="4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9"/>
              </w:rPr>
              <w:t>具备数据填报及填报流程审批功能，支持拖拽式操作设计填报表单模板，并设置填报字</w:t>
            </w:r>
            <w:r>
              <w:rPr>
                <w:rFonts w:hint="eastAsia" w:ascii="宋体" w:hAnsi="宋体" w:eastAsia="宋体" w:cs="宋体"/>
                <w:spacing w:val="5"/>
              </w:rPr>
              <w:t>段规则。</w:t>
            </w:r>
          </w:p>
        </w:tc>
      </w:tr>
    </w:tbl>
    <w:p w14:paraId="104E6820">
      <w:pPr>
        <w:rPr>
          <w:rFonts w:hint="eastAsia" w:ascii="宋体" w:hAnsi="宋体" w:eastAsia="宋体" w:cs="宋体"/>
          <w:sz w:val="21"/>
        </w:rPr>
      </w:pPr>
    </w:p>
    <w:p w14:paraId="62E872DB">
      <w:pPr>
        <w:rPr>
          <w:rFonts w:hint="eastAsia" w:ascii="宋体" w:hAnsi="宋体" w:eastAsia="宋体" w:cs="宋体"/>
          <w:sz w:val="21"/>
          <w:szCs w:val="21"/>
        </w:rPr>
        <w:sectPr>
          <w:pgSz w:w="11906" w:h="16839"/>
          <w:pgMar w:top="1431" w:right="1684" w:bottom="0" w:left="1682" w:header="0" w:footer="0" w:gutter="0"/>
          <w:cols w:space="720" w:num="1"/>
        </w:sectPr>
      </w:pPr>
    </w:p>
    <w:p w14:paraId="64C95E4C">
      <w:pPr>
        <w:spacing w:line="91" w:lineRule="auto"/>
        <w:rPr>
          <w:rFonts w:hint="eastAsia" w:ascii="宋体" w:hAnsi="宋体" w:eastAsia="宋体" w:cs="宋体"/>
          <w:sz w:val="2"/>
        </w:rPr>
      </w:pPr>
    </w:p>
    <w:tbl>
      <w:tblPr>
        <w:tblStyle w:val="5"/>
        <w:tblW w:w="852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1"/>
        <w:gridCol w:w="4263"/>
      </w:tblGrid>
      <w:tr w14:paraId="375E4B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4" w:hRule="atLeast"/>
        </w:trPr>
        <w:tc>
          <w:tcPr>
            <w:tcW w:w="4261" w:type="dxa"/>
            <w:vAlign w:val="top"/>
          </w:tcPr>
          <w:p w14:paraId="0D65D023">
            <w:pPr>
              <w:spacing w:line="255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C92250C">
            <w:pPr>
              <w:spacing w:line="255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0D70C5F">
            <w:pPr>
              <w:spacing w:line="256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6A49BE1D">
            <w:pPr>
              <w:pStyle w:val="6"/>
              <w:spacing w:before="65" w:line="228" w:lineRule="auto"/>
              <w:ind w:left="171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7"/>
              </w:rPr>
              <w:t>监控功能</w:t>
            </w:r>
          </w:p>
        </w:tc>
        <w:tc>
          <w:tcPr>
            <w:tcW w:w="4263" w:type="dxa"/>
            <w:vAlign w:val="top"/>
          </w:tcPr>
          <w:p w14:paraId="59623FA4">
            <w:pPr>
              <w:pStyle w:val="6"/>
              <w:spacing w:before="136" w:line="401" w:lineRule="auto"/>
              <w:ind w:left="109" w:right="33" w:firstLine="8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能够监控系统的当前状态、内存状态、仪表</w:t>
            </w:r>
            <w:r>
              <w:rPr>
                <w:rFonts w:hint="eastAsia" w:ascii="宋体" w:hAnsi="宋体" w:eastAsia="宋体" w:cs="宋体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6"/>
              </w:rPr>
              <w:t>盘访问情况等，支持预警设置，通过</w:t>
            </w:r>
            <w:r>
              <w:rPr>
                <w:rFonts w:hint="eastAsia" w:ascii="宋体" w:hAnsi="宋体" w:eastAsia="宋体" w:cs="宋体"/>
                <w:color w:val="333333"/>
              </w:rPr>
              <w:t>PC</w:t>
            </w:r>
            <w:r>
              <w:rPr>
                <w:rFonts w:hint="eastAsia" w:ascii="宋体" w:hAnsi="宋体" w:eastAsia="宋体" w:cs="宋体"/>
                <w:color w:val="333333"/>
                <w:spacing w:val="6"/>
              </w:rPr>
              <w:t>端消</w:t>
            </w:r>
            <w:r>
              <w:rPr>
                <w:rFonts w:hint="eastAsia" w:ascii="宋体" w:hAnsi="宋体" w:eastAsia="宋体" w:cs="宋体"/>
                <w:color w:val="333333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33333"/>
                <w:spacing w:val="9"/>
              </w:rPr>
              <w:t>息中心、邮件或第三方协同平台（如第三方</w:t>
            </w:r>
            <w:r>
              <w:rPr>
                <w:rFonts w:hint="eastAsia" w:ascii="宋体" w:hAnsi="宋体" w:eastAsia="宋体" w:cs="宋体"/>
                <w:color w:val="333333"/>
                <w:spacing w:val="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333333"/>
                <w:spacing w:val="5"/>
              </w:rPr>
              <w:t>协同平台（如钉钉、飞书等）推送预警信息。</w:t>
            </w:r>
          </w:p>
        </w:tc>
      </w:tr>
      <w:tr w14:paraId="1E6743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5" w:hRule="atLeast"/>
        </w:trPr>
        <w:tc>
          <w:tcPr>
            <w:tcW w:w="4261" w:type="dxa"/>
            <w:vAlign w:val="top"/>
          </w:tcPr>
          <w:p w14:paraId="508B7B0A">
            <w:pPr>
              <w:spacing w:line="248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A09A4DE">
            <w:pPr>
              <w:spacing w:line="248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3456CA2">
            <w:pPr>
              <w:spacing w:line="248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E3D0FDF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CF460EC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01D70975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6CCD929D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E8D250A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195FCD73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6DC4BDCB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6E11A48A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C30E9E1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0C44E8F2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22AB98E3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172EF843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3326FD0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CA7415A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3156EC6">
            <w:pPr>
              <w:spacing w:line="2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0FA2286">
            <w:pPr>
              <w:pStyle w:val="6"/>
              <w:spacing w:before="65" w:line="228" w:lineRule="auto"/>
              <w:ind w:left="132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4"/>
              </w:rPr>
              <w:t>自服务数据集功能</w:t>
            </w:r>
          </w:p>
        </w:tc>
        <w:tc>
          <w:tcPr>
            <w:tcW w:w="4263" w:type="dxa"/>
            <w:vAlign w:val="top"/>
          </w:tcPr>
          <w:p w14:paraId="0C9C2928">
            <w:pPr>
              <w:pStyle w:val="6"/>
              <w:spacing w:before="127" w:line="228" w:lineRule="auto"/>
              <w:ind w:left="12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7"/>
              </w:rPr>
              <w:t>需具备多种数据集功能，例如：</w:t>
            </w:r>
          </w:p>
          <w:p w14:paraId="3BDE361C">
            <w:pPr>
              <w:pStyle w:val="6"/>
              <w:spacing w:before="221" w:line="364" w:lineRule="auto"/>
              <w:ind w:left="111" w:right="104" w:firstLine="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（1）自服务数据集：通过添加数据节点整合</w:t>
            </w:r>
            <w:r>
              <w:rPr>
                <w:rFonts w:hint="eastAsia" w:ascii="宋体" w:hAnsi="宋体" w:eastAsia="宋体" w:cs="宋体"/>
                <w:spacing w:val="9"/>
              </w:rPr>
              <w:t>不同类型数据，实现数据清洗、关联、排序</w:t>
            </w:r>
            <w:r>
              <w:rPr>
                <w:rFonts w:hint="eastAsia" w:ascii="宋体" w:hAnsi="宋体" w:eastAsia="宋体" w:cs="宋体"/>
                <w:spacing w:val="4"/>
              </w:rPr>
              <w:t>等操作。</w:t>
            </w:r>
          </w:p>
          <w:p w14:paraId="632B05AB">
            <w:pPr>
              <w:pStyle w:val="6"/>
              <w:spacing w:before="220" w:line="330" w:lineRule="auto"/>
              <w:ind w:left="107" w:right="89" w:firstLine="1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8"/>
              </w:rPr>
              <w:t>（2）</w:t>
            </w:r>
            <w:r>
              <w:rPr>
                <w:rFonts w:hint="eastAsia" w:ascii="宋体" w:hAnsi="宋体" w:eastAsia="宋体" w:cs="宋体"/>
              </w:rPr>
              <w:t>Excel</w:t>
            </w:r>
            <w:r>
              <w:rPr>
                <w:rFonts w:hint="eastAsia" w:ascii="宋体" w:hAnsi="宋体" w:eastAsia="宋体" w:cs="宋体"/>
                <w:spacing w:val="8"/>
              </w:rPr>
              <w:t>数据集：直接上传</w:t>
            </w:r>
            <w:r>
              <w:rPr>
                <w:rFonts w:hint="eastAsia" w:ascii="宋体" w:hAnsi="宋体" w:eastAsia="宋体" w:cs="宋体"/>
              </w:rPr>
              <w:t>Excel</w:t>
            </w:r>
            <w:r>
              <w:rPr>
                <w:rFonts w:hint="eastAsia" w:ascii="宋体" w:hAnsi="宋体" w:eastAsia="宋体" w:cs="宋体"/>
                <w:spacing w:val="8"/>
              </w:rPr>
              <w:t>、</w:t>
            </w:r>
            <w:r>
              <w:rPr>
                <w:rFonts w:hint="eastAsia" w:ascii="宋体" w:hAnsi="宋体" w:eastAsia="宋体" w:cs="宋体"/>
              </w:rPr>
              <w:t>CSV</w:t>
            </w:r>
            <w:r>
              <w:rPr>
                <w:rFonts w:hint="eastAsia" w:ascii="宋体" w:hAnsi="宋体" w:eastAsia="宋体" w:cs="宋体"/>
                <w:spacing w:val="8"/>
              </w:rPr>
              <w:t>、</w:t>
            </w:r>
            <w:r>
              <w:rPr>
                <w:rFonts w:hint="eastAsia" w:ascii="宋体" w:hAnsi="宋体" w:eastAsia="宋体" w:cs="宋体"/>
              </w:rPr>
              <w:t>TXT</w:t>
            </w:r>
            <w:r>
              <w:rPr>
                <w:rFonts w:hint="eastAsia" w:ascii="宋体" w:hAnsi="宋体" w:eastAsia="宋体" w:cs="宋体"/>
                <w:spacing w:val="8"/>
              </w:rPr>
              <w:t>或</w:t>
            </w:r>
            <w:r>
              <w:rPr>
                <w:rFonts w:hint="eastAsia" w:ascii="宋体" w:hAnsi="宋体" w:eastAsia="宋体" w:cs="宋体"/>
              </w:rPr>
              <w:t>LOG</w:t>
            </w:r>
            <w:r>
              <w:rPr>
                <w:rFonts w:hint="eastAsia" w:ascii="宋体" w:hAnsi="宋体" w:eastAsia="宋体" w:cs="宋体"/>
                <w:spacing w:val="8"/>
              </w:rPr>
              <w:t>文件作为数据集。</w:t>
            </w:r>
          </w:p>
          <w:p w14:paraId="0E255FD4">
            <w:pPr>
              <w:pStyle w:val="6"/>
              <w:spacing w:before="220" w:line="330" w:lineRule="auto"/>
              <w:ind w:left="112" w:right="103" w:firstLine="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（3）SQL数据集：通过表、视图或自定义</w:t>
            </w:r>
            <w:r>
              <w:rPr>
                <w:rFonts w:hint="eastAsia" w:ascii="宋体" w:hAnsi="宋体" w:eastAsia="宋体" w:cs="宋体"/>
                <w:spacing w:val="-1"/>
              </w:rPr>
              <w:t>SQL</w:t>
            </w:r>
            <w:r>
              <w:rPr>
                <w:rFonts w:hint="eastAsia" w:ascii="宋体" w:hAnsi="宋体" w:eastAsia="宋体" w:cs="宋体"/>
                <w:spacing w:val="12"/>
              </w:rPr>
              <w:t>查询数据，支持数据库内计算和</w:t>
            </w:r>
            <w:r>
              <w:rPr>
                <w:rFonts w:hint="eastAsia" w:ascii="宋体" w:hAnsi="宋体" w:eastAsia="宋体" w:cs="宋体"/>
              </w:rPr>
              <w:t>SQL</w:t>
            </w:r>
            <w:r>
              <w:rPr>
                <w:rFonts w:hint="eastAsia" w:ascii="宋体" w:hAnsi="宋体" w:eastAsia="宋体" w:cs="宋体"/>
                <w:spacing w:val="12"/>
              </w:rPr>
              <w:t>解析。</w:t>
            </w:r>
          </w:p>
          <w:p w14:paraId="4EF703E7">
            <w:pPr>
              <w:pStyle w:val="6"/>
              <w:spacing w:before="221" w:line="330" w:lineRule="auto"/>
              <w:ind w:left="125" w:right="104" w:hanging="6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（4）组合数据集：通过拖拽实现多表或视图</w:t>
            </w:r>
            <w:r>
              <w:rPr>
                <w:rFonts w:hint="eastAsia" w:ascii="宋体" w:hAnsi="宋体" w:eastAsia="宋体" w:cs="宋体"/>
                <w:spacing w:val="7"/>
              </w:rPr>
              <w:t>的联接或联合，支持不同数据源。</w:t>
            </w:r>
          </w:p>
          <w:p w14:paraId="474CC585">
            <w:pPr>
              <w:pStyle w:val="6"/>
              <w:spacing w:before="221" w:line="330" w:lineRule="auto"/>
              <w:ind w:left="109" w:right="105" w:firstLine="1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</w:rPr>
              <w:t>（5）内嵌数据集：自定义数据结构和参数，</w:t>
            </w:r>
            <w:r>
              <w:rPr>
                <w:rFonts w:hint="eastAsia" w:ascii="宋体" w:hAnsi="宋体" w:eastAsia="宋体" w:cs="宋体"/>
                <w:spacing w:val="8"/>
              </w:rPr>
              <w:t>创建所需的数据集表单。</w:t>
            </w:r>
          </w:p>
          <w:p w14:paraId="6936C60A">
            <w:pPr>
              <w:pStyle w:val="6"/>
              <w:spacing w:before="221" w:line="330" w:lineRule="auto"/>
              <w:ind w:left="109" w:right="105" w:firstLine="1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（6）多维数据集：从多维数据源过滤数据，</w:t>
            </w:r>
            <w:r>
              <w:rPr>
                <w:rFonts w:hint="eastAsia" w:ascii="宋体" w:hAnsi="宋体" w:eastAsia="宋体" w:cs="宋体"/>
                <w:spacing w:val="8"/>
              </w:rPr>
              <w:t>装载至数据仓库后重新整理存储。</w:t>
            </w:r>
          </w:p>
          <w:p w14:paraId="2185855A">
            <w:pPr>
              <w:pStyle w:val="6"/>
              <w:spacing w:before="222" w:line="327" w:lineRule="auto"/>
              <w:ind w:left="113" w:right="50" w:firstLine="6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（7）RESTful数据集：连接</w:t>
            </w:r>
            <w:r>
              <w:rPr>
                <w:rFonts w:hint="eastAsia" w:ascii="宋体" w:hAnsi="宋体" w:eastAsia="宋体" w:cs="宋体"/>
                <w:spacing w:val="-40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</w:rPr>
              <w:t>RESTful数据源，</w:t>
            </w:r>
            <w:r>
              <w:rPr>
                <w:rFonts w:hint="eastAsia" w:ascii="宋体" w:hAnsi="宋体" w:eastAsia="宋体" w:cs="宋体"/>
                <w:spacing w:val="7"/>
              </w:rPr>
              <w:t>获取</w:t>
            </w:r>
            <w:r>
              <w:rPr>
                <w:rFonts w:hint="eastAsia" w:ascii="宋体" w:hAnsi="宋体" w:eastAsia="宋体" w:cs="宋体"/>
              </w:rPr>
              <w:t>json</w:t>
            </w:r>
            <w:r>
              <w:rPr>
                <w:rFonts w:hint="eastAsia" w:ascii="宋体" w:hAnsi="宋体" w:eastAsia="宋体" w:cs="宋体"/>
                <w:spacing w:val="7"/>
              </w:rPr>
              <w:t>数据并转化为数据集。</w:t>
            </w:r>
          </w:p>
          <w:p w14:paraId="24BA460E">
            <w:pPr>
              <w:pStyle w:val="6"/>
              <w:spacing w:before="226" w:line="330" w:lineRule="auto"/>
              <w:ind w:left="110" w:right="104" w:firstLine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（8）定制数据集：自定义数据集条件和数据</w:t>
            </w:r>
            <w:r>
              <w:rPr>
                <w:rFonts w:hint="eastAsia" w:ascii="宋体" w:hAnsi="宋体" w:eastAsia="宋体" w:cs="宋体"/>
                <w:spacing w:val="2"/>
              </w:rPr>
              <w:t>来源。</w:t>
            </w:r>
          </w:p>
          <w:p w14:paraId="5366863E">
            <w:pPr>
              <w:pStyle w:val="6"/>
              <w:spacing w:before="221" w:line="330" w:lineRule="auto"/>
              <w:ind w:left="111" w:right="104" w:firstLine="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（9）数据治理：进行数据清洗、治理，包括</w:t>
            </w:r>
            <w:r>
              <w:rPr>
                <w:rFonts w:hint="eastAsia" w:ascii="宋体" w:hAnsi="宋体" w:eastAsia="宋体" w:cs="宋体"/>
                <w:spacing w:val="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</w:rPr>
              <w:t>元数据操作和数据权限管理等。</w:t>
            </w:r>
          </w:p>
        </w:tc>
      </w:tr>
      <w:tr w14:paraId="75CA2E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0" w:hRule="atLeast"/>
        </w:trPr>
        <w:tc>
          <w:tcPr>
            <w:tcW w:w="4261" w:type="dxa"/>
            <w:vAlign w:val="top"/>
          </w:tcPr>
          <w:p w14:paraId="4C5C9D87">
            <w:pPr>
              <w:spacing w:line="25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1309FA4A">
            <w:pPr>
              <w:spacing w:line="25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F893627">
            <w:pPr>
              <w:spacing w:line="25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2F62C559">
            <w:pPr>
              <w:spacing w:line="251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4796E9A">
            <w:pPr>
              <w:pStyle w:val="6"/>
              <w:spacing w:before="65" w:line="228" w:lineRule="auto"/>
              <w:ind w:left="1184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9"/>
              </w:rPr>
              <w:t>报表数据预处理能力</w:t>
            </w:r>
          </w:p>
        </w:tc>
        <w:tc>
          <w:tcPr>
            <w:tcW w:w="4263" w:type="dxa"/>
            <w:vAlign w:val="top"/>
          </w:tcPr>
          <w:p w14:paraId="17E7163E">
            <w:pPr>
              <w:pStyle w:val="6"/>
              <w:spacing w:before="137" w:line="363" w:lineRule="auto"/>
              <w:ind w:left="108" w:right="104" w:firstLine="1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（1）提高前端报表响应速度：针对大数据报</w:t>
            </w:r>
            <w:r>
              <w:rPr>
                <w:rFonts w:hint="eastAsia" w:ascii="宋体" w:hAnsi="宋体" w:eastAsia="宋体" w:cs="宋体"/>
                <w:spacing w:val="9"/>
              </w:rPr>
              <w:t>表，根据数据量、类型、业务场景及并发访</w:t>
            </w:r>
            <w:r>
              <w:rPr>
                <w:rFonts w:hint="eastAsia" w:ascii="宋体" w:hAnsi="宋体" w:eastAsia="宋体" w:cs="宋体"/>
                <w:spacing w:val="8"/>
              </w:rPr>
              <w:t>问估算存储空间、节点数和配置。</w:t>
            </w:r>
          </w:p>
          <w:p w14:paraId="24B101A8">
            <w:pPr>
              <w:pStyle w:val="6"/>
              <w:spacing w:before="222" w:line="228" w:lineRule="auto"/>
              <w:ind w:left="11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7"/>
              </w:rPr>
              <w:t>（2）实现亿级数据的秒级响应。</w:t>
            </w:r>
          </w:p>
          <w:p w14:paraId="7300A3D3">
            <w:pPr>
              <w:pStyle w:val="6"/>
              <w:spacing w:before="221" w:line="227" w:lineRule="auto"/>
              <w:ind w:left="11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（3）支持分布式计算和实时处理，快速执行</w:t>
            </w:r>
          </w:p>
        </w:tc>
      </w:tr>
    </w:tbl>
    <w:p w14:paraId="3584F1DD">
      <w:pPr>
        <w:rPr>
          <w:rFonts w:hint="eastAsia" w:ascii="宋体" w:hAnsi="宋体" w:eastAsia="宋体" w:cs="宋体"/>
          <w:sz w:val="21"/>
        </w:rPr>
      </w:pPr>
    </w:p>
    <w:p w14:paraId="11720660">
      <w:pPr>
        <w:rPr>
          <w:rFonts w:hint="eastAsia" w:ascii="宋体" w:hAnsi="宋体" w:eastAsia="宋体" w:cs="宋体"/>
          <w:sz w:val="21"/>
          <w:szCs w:val="21"/>
        </w:rPr>
        <w:sectPr>
          <w:pgSz w:w="11906" w:h="16839"/>
          <w:pgMar w:top="1431" w:right="1684" w:bottom="0" w:left="1682" w:header="0" w:footer="0" w:gutter="0"/>
          <w:cols w:space="720" w:num="1"/>
        </w:sectPr>
      </w:pPr>
    </w:p>
    <w:p w14:paraId="44D1179B">
      <w:pPr>
        <w:spacing w:line="91" w:lineRule="auto"/>
        <w:rPr>
          <w:rFonts w:hint="eastAsia" w:ascii="宋体" w:hAnsi="宋体" w:eastAsia="宋体" w:cs="宋体"/>
          <w:sz w:val="2"/>
        </w:rPr>
      </w:pPr>
    </w:p>
    <w:tbl>
      <w:tblPr>
        <w:tblStyle w:val="5"/>
        <w:tblW w:w="852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1"/>
        <w:gridCol w:w="4263"/>
      </w:tblGrid>
      <w:tr w14:paraId="4A4344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4261" w:type="dxa"/>
            <w:vAlign w:val="top"/>
          </w:tcPr>
          <w:p w14:paraId="003C020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263" w:type="dxa"/>
            <w:vAlign w:val="top"/>
          </w:tcPr>
          <w:p w14:paraId="1C2BD865">
            <w:pPr>
              <w:pStyle w:val="6"/>
              <w:spacing w:before="134" w:line="228" w:lineRule="auto"/>
              <w:ind w:right="7"/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复杂查询和计算分析，具备大数据处理能力。</w:t>
            </w:r>
          </w:p>
        </w:tc>
      </w:tr>
      <w:tr w14:paraId="4CEC04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4261" w:type="dxa"/>
            <w:vAlign w:val="top"/>
          </w:tcPr>
          <w:p w14:paraId="1641E451">
            <w:pPr>
              <w:spacing w:line="252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1B1F2EDA">
            <w:pPr>
              <w:spacing w:line="25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6B30CED0">
            <w:pPr>
              <w:spacing w:line="25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6A7A41E">
            <w:pPr>
              <w:pStyle w:val="6"/>
              <w:spacing w:before="66" w:line="228" w:lineRule="auto"/>
              <w:ind w:left="171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系统管控</w:t>
            </w:r>
          </w:p>
        </w:tc>
        <w:tc>
          <w:tcPr>
            <w:tcW w:w="4263" w:type="dxa"/>
            <w:vAlign w:val="top"/>
          </w:tcPr>
          <w:p w14:paraId="13EF5A8A">
            <w:pPr>
              <w:pStyle w:val="6"/>
              <w:spacing w:before="128" w:line="400" w:lineRule="auto"/>
              <w:ind w:left="109" w:right="17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应包含资源管理、系统设置、日志管理、系</w:t>
            </w:r>
            <w:r>
              <w:rPr>
                <w:rFonts w:hint="eastAsia" w:ascii="宋体" w:hAnsi="宋体" w:eastAsia="宋体" w:cs="宋体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9"/>
              </w:rPr>
              <w:t>统监控预警、任务管理数据库管理、资源移</w:t>
            </w:r>
            <w:r>
              <w:rPr>
                <w:rFonts w:hint="eastAsia" w:ascii="宋体" w:hAnsi="宋体" w:eastAsia="宋体" w:cs="宋体"/>
                <w:spacing w:val="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6"/>
              </w:rPr>
              <w:t>植部署、第三方协同平台（如钉钉、飞书等）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</w:rPr>
              <w:t>应用配置、系统检查</w:t>
            </w:r>
          </w:p>
        </w:tc>
      </w:tr>
      <w:tr w14:paraId="53C388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5" w:hRule="atLeast"/>
        </w:trPr>
        <w:tc>
          <w:tcPr>
            <w:tcW w:w="4261" w:type="dxa"/>
            <w:vAlign w:val="top"/>
          </w:tcPr>
          <w:p w14:paraId="2F6B06C7">
            <w:pPr>
              <w:spacing w:line="245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25A5D942">
            <w:pPr>
              <w:spacing w:line="245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32039E3">
            <w:pPr>
              <w:spacing w:line="246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5D6BCC6">
            <w:pPr>
              <w:spacing w:line="246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046ADD41">
            <w:pPr>
              <w:spacing w:line="246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0956DF65">
            <w:pPr>
              <w:pStyle w:val="6"/>
              <w:spacing w:before="65" w:line="228" w:lineRule="auto"/>
              <w:ind w:left="150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8"/>
              </w:rPr>
              <w:t>报表定制开发</w:t>
            </w:r>
          </w:p>
        </w:tc>
        <w:tc>
          <w:tcPr>
            <w:tcW w:w="4263" w:type="dxa"/>
            <w:vAlign w:val="top"/>
          </w:tcPr>
          <w:p w14:paraId="7A92452C">
            <w:pPr>
              <w:pStyle w:val="6"/>
              <w:spacing w:before="133" w:line="411" w:lineRule="auto"/>
              <w:ind w:left="108" w:right="157" w:firstLine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需提供1个人月的报表定制开发服务，涵盖</w:t>
            </w:r>
            <w:r>
              <w:rPr>
                <w:rFonts w:hint="eastAsia" w:ascii="宋体" w:hAnsi="宋体" w:eastAsia="宋体" w:cs="宋体"/>
                <w:spacing w:val="9"/>
              </w:rPr>
              <w:t>但不限于依据业务需求定制报表样式、开发报表功能、提升报表性能等方面。同时，报表的定制开发应兼顾系统的兼容性与可扩展</w:t>
            </w:r>
            <w:r>
              <w:rPr>
                <w:rFonts w:hint="eastAsia" w:ascii="宋体" w:hAnsi="宋体" w:eastAsia="宋体" w:cs="宋体"/>
                <w:spacing w:val="7"/>
              </w:rPr>
              <w:t>性，以确保报表能够适应未来业务的发展，持续满足需求。</w:t>
            </w:r>
          </w:p>
        </w:tc>
      </w:tr>
    </w:tbl>
    <w:p w14:paraId="468956B1">
      <w:pPr>
        <w:spacing w:line="324" w:lineRule="auto"/>
        <w:rPr>
          <w:rFonts w:hint="eastAsia" w:ascii="宋体" w:hAnsi="宋体" w:eastAsia="宋体" w:cs="宋体"/>
          <w:sz w:val="21"/>
        </w:rPr>
      </w:pPr>
    </w:p>
    <w:p w14:paraId="4073073B">
      <w:pPr>
        <w:pStyle w:val="2"/>
        <w:spacing w:before="97" w:line="219" w:lineRule="auto"/>
        <w:ind w:left="136"/>
        <w:outlineLvl w:val="1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7"/>
          <w:sz w:val="30"/>
          <w:szCs w:val="30"/>
        </w:rPr>
        <w:t>2.</w:t>
      </w:r>
      <w:r>
        <w:rPr>
          <w:rFonts w:hint="eastAsia" w:ascii="宋体" w:hAnsi="宋体" w:eastAsia="宋体" w:cs="宋体"/>
          <w:b/>
          <w:bCs/>
          <w:spacing w:val="20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b/>
          <w:bCs/>
          <w:spacing w:val="-7"/>
          <w:sz w:val="30"/>
          <w:szCs w:val="30"/>
        </w:rPr>
        <w:t>交付物与交付时间</w:t>
      </w:r>
    </w:p>
    <w:p w14:paraId="795888C4">
      <w:pPr>
        <w:spacing w:line="398" w:lineRule="auto"/>
        <w:rPr>
          <w:rFonts w:hint="eastAsia" w:ascii="宋体" w:hAnsi="宋体" w:eastAsia="宋体" w:cs="宋体"/>
          <w:sz w:val="21"/>
        </w:rPr>
      </w:pPr>
    </w:p>
    <w:p w14:paraId="17222027">
      <w:pPr>
        <w:pStyle w:val="2"/>
        <w:spacing w:before="78" w:line="347" w:lineRule="auto"/>
        <w:ind w:left="126" w:right="115" w:firstLine="48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本项目要求成交供应商提供1套数据可视化工具按年</w:t>
      </w:r>
      <w:r>
        <w:rPr>
          <w:rFonts w:hint="eastAsia" w:ascii="宋体" w:hAnsi="宋体" w:eastAsia="宋体" w:cs="宋体"/>
          <w:spacing w:val="-2"/>
        </w:rPr>
        <w:t>订阅授权和1项报表实</w:t>
      </w:r>
      <w:r>
        <w:rPr>
          <w:rFonts w:hint="eastAsia" w:ascii="宋体" w:hAnsi="宋体" w:eastAsia="宋体" w:cs="宋体"/>
          <w:spacing w:val="-3"/>
        </w:rPr>
        <w:t>施服务，交付时间为合同签订后12个月内。</w:t>
      </w:r>
    </w:p>
    <w:p w14:paraId="6F794DB6">
      <w:pPr>
        <w:spacing w:line="244" w:lineRule="auto"/>
        <w:rPr>
          <w:rFonts w:hint="eastAsia" w:ascii="宋体" w:hAnsi="宋体" w:eastAsia="宋体" w:cs="宋体"/>
          <w:sz w:val="21"/>
        </w:rPr>
      </w:pPr>
    </w:p>
    <w:p w14:paraId="42390B37">
      <w:pPr>
        <w:pStyle w:val="2"/>
        <w:spacing w:before="98" w:line="219" w:lineRule="auto"/>
        <w:ind w:left="134"/>
        <w:outlineLvl w:val="1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6"/>
          <w:sz w:val="30"/>
          <w:szCs w:val="30"/>
        </w:rPr>
        <w:t>3.</w:t>
      </w:r>
      <w:r>
        <w:rPr>
          <w:rFonts w:hint="eastAsia" w:ascii="宋体" w:hAnsi="宋体" w:eastAsia="宋体" w:cs="宋体"/>
          <w:b/>
          <w:bCs/>
          <w:spacing w:val="15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b/>
          <w:bCs/>
          <w:spacing w:val="-6"/>
          <w:sz w:val="30"/>
          <w:szCs w:val="30"/>
        </w:rPr>
        <w:t>性能及部署要求</w:t>
      </w:r>
    </w:p>
    <w:p w14:paraId="4E01F214">
      <w:pPr>
        <w:spacing w:line="387" w:lineRule="auto"/>
        <w:rPr>
          <w:rFonts w:hint="eastAsia" w:ascii="宋体" w:hAnsi="宋体" w:eastAsia="宋体" w:cs="宋体"/>
          <w:sz w:val="21"/>
        </w:rPr>
      </w:pPr>
    </w:p>
    <w:p w14:paraId="4407257C">
      <w:pPr>
        <w:pStyle w:val="2"/>
        <w:numPr>
          <w:ilvl w:val="0"/>
          <w:numId w:val="2"/>
        </w:numPr>
        <w:spacing w:before="78" w:line="239" w:lineRule="auto"/>
        <w:ind w:left="420" w:leftChars="0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支持单节点模式及集群模式部署，提供多种部署工具与配置模板</w:t>
      </w:r>
    </w:p>
    <w:p w14:paraId="13081AFC">
      <w:pPr>
        <w:pStyle w:val="2"/>
        <w:numPr>
          <w:ilvl w:val="0"/>
          <w:numId w:val="2"/>
        </w:numPr>
        <w:spacing w:before="132" w:line="304" w:lineRule="auto"/>
        <w:ind w:left="420" w:leftChars="0" w:right="155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兼容主流虚拟化平台（如</w:t>
      </w:r>
      <w:r>
        <w:rPr>
          <w:rFonts w:hint="eastAsia" w:ascii="宋体" w:hAnsi="宋体" w:eastAsia="宋体" w:cs="宋体"/>
          <w:spacing w:val="-51"/>
        </w:rPr>
        <w:t xml:space="preserve"> </w:t>
      </w:r>
      <w:r>
        <w:rPr>
          <w:rFonts w:hint="eastAsia" w:ascii="宋体" w:hAnsi="宋体" w:eastAsia="宋体" w:cs="宋体"/>
        </w:rPr>
        <w:t>VMware</w:t>
      </w:r>
      <w:r>
        <w:rPr>
          <w:rFonts w:hint="eastAsia" w:ascii="宋体" w:hAnsi="宋体" w:eastAsia="宋体" w:cs="宋体"/>
          <w:spacing w:val="-29"/>
        </w:rPr>
        <w:t xml:space="preserve"> </w:t>
      </w:r>
      <w:r>
        <w:rPr>
          <w:rFonts w:hint="eastAsia" w:ascii="宋体" w:hAnsi="宋体" w:eastAsia="宋体" w:cs="宋体"/>
        </w:rPr>
        <w:t>、OpenStack 等）及云服务商（华为云、</w:t>
      </w:r>
      <w:r>
        <w:rPr>
          <w:rFonts w:hint="eastAsia" w:ascii="宋体" w:hAnsi="宋体" w:eastAsia="宋体" w:cs="宋体"/>
          <w:spacing w:val="-2"/>
        </w:rPr>
        <w:t>阿里云、腾讯云等</w:t>
      </w:r>
      <w:r>
        <w:rPr>
          <w:rFonts w:hint="eastAsia" w:ascii="宋体" w:hAnsi="宋体" w:eastAsia="宋体" w:cs="宋体"/>
          <w:spacing w:val="-55"/>
        </w:rPr>
        <w:t>），</w:t>
      </w:r>
      <w:r>
        <w:rPr>
          <w:rFonts w:hint="eastAsia" w:ascii="宋体" w:hAnsi="宋体" w:eastAsia="宋体" w:cs="宋体"/>
          <w:spacing w:val="-2"/>
        </w:rPr>
        <w:t>支持混合云部署</w:t>
      </w:r>
    </w:p>
    <w:p w14:paraId="0E9D82AE">
      <w:pPr>
        <w:pStyle w:val="2"/>
        <w:numPr>
          <w:ilvl w:val="0"/>
          <w:numId w:val="2"/>
        </w:numPr>
        <w:spacing w:before="171" w:line="239" w:lineRule="auto"/>
        <w:ind w:left="420" w:leftChars="0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数据加速引擎支持基于上亿条数据进行探索式分析，要求秒级响应</w:t>
      </w:r>
    </w:p>
    <w:p w14:paraId="4857BC63">
      <w:pPr>
        <w:pStyle w:val="2"/>
        <w:numPr>
          <w:ilvl w:val="0"/>
          <w:numId w:val="2"/>
        </w:numPr>
        <w:spacing w:before="157" w:line="294" w:lineRule="auto"/>
        <w:ind w:left="420" w:leftChars="0" w:right="35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>满足</w:t>
      </w:r>
      <w:r>
        <w:rPr>
          <w:rFonts w:hint="eastAsia" w:ascii="宋体" w:hAnsi="宋体" w:eastAsia="宋体" w:cs="宋体"/>
          <w:spacing w:val="-45"/>
        </w:rPr>
        <w:t xml:space="preserve"> </w:t>
      </w:r>
      <w:r>
        <w:rPr>
          <w:rFonts w:hint="eastAsia" w:ascii="宋体" w:hAnsi="宋体" w:eastAsia="宋体" w:cs="宋体"/>
          <w:spacing w:val="-3"/>
        </w:rPr>
        <w:t>TB 级结构化数据（如关系型数据库）及</w:t>
      </w:r>
      <w:r>
        <w:rPr>
          <w:rFonts w:hint="eastAsia" w:ascii="宋体" w:hAnsi="宋体" w:eastAsia="宋体" w:cs="宋体"/>
          <w:spacing w:val="-55"/>
        </w:rPr>
        <w:t xml:space="preserve"> </w:t>
      </w:r>
      <w:r>
        <w:rPr>
          <w:rFonts w:hint="eastAsia" w:ascii="宋体" w:hAnsi="宋体" w:eastAsia="宋体" w:cs="宋体"/>
          <w:spacing w:val="-3"/>
        </w:rPr>
        <w:t>PB 级非结构化数据（如日志、</w:t>
      </w:r>
      <w:r>
        <w:rPr>
          <w:rFonts w:hint="eastAsia" w:ascii="宋体" w:hAnsi="宋体" w:eastAsia="宋体" w:cs="宋体"/>
          <w:spacing w:val="-2"/>
        </w:rPr>
        <w:t>文本）的混合处理需求</w:t>
      </w:r>
    </w:p>
    <w:p w14:paraId="26B06883">
      <w:pPr>
        <w:pStyle w:val="2"/>
        <w:numPr>
          <w:ilvl w:val="0"/>
          <w:numId w:val="2"/>
        </w:numPr>
        <w:spacing w:before="171" w:line="239" w:lineRule="auto"/>
        <w:ind w:left="420" w:leftChars="0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提供数据分片、负载均衡策略说明，支持按数据热度自动优化存储位置</w:t>
      </w:r>
    </w:p>
    <w:p w14:paraId="3E135CC8">
      <w:pPr>
        <w:pStyle w:val="2"/>
        <w:numPr>
          <w:ilvl w:val="0"/>
          <w:numId w:val="2"/>
        </w:numPr>
        <w:spacing w:before="131" w:line="305" w:lineRule="auto"/>
        <w:ind w:left="420" w:leftChars="0" w:right="115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>基于亿级数据的自助式探索分析（如筛选、排序、计</w:t>
      </w:r>
      <w:r>
        <w:rPr>
          <w:rFonts w:hint="eastAsia" w:ascii="宋体" w:hAnsi="宋体" w:eastAsia="宋体" w:cs="宋体"/>
          <w:spacing w:val="-4"/>
        </w:rPr>
        <w:t>算字段</w:t>
      </w:r>
      <w:r>
        <w:rPr>
          <w:rFonts w:hint="eastAsia" w:ascii="宋体" w:hAnsi="宋体" w:eastAsia="宋体" w:cs="宋体"/>
          <w:spacing w:val="-60"/>
          <w:w w:val="96"/>
        </w:rPr>
        <w:t>），</w:t>
      </w:r>
      <w:r>
        <w:rPr>
          <w:rFonts w:hint="eastAsia" w:ascii="宋体" w:hAnsi="宋体" w:eastAsia="宋体" w:cs="宋体"/>
          <w:spacing w:val="-4"/>
        </w:rPr>
        <w:t>90%操作响应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spacing w:val="7"/>
        </w:rPr>
        <w:t>时间≤3秒</w:t>
      </w:r>
    </w:p>
    <w:p w14:paraId="6A669BD5">
      <w:pPr>
        <w:pStyle w:val="2"/>
        <w:numPr>
          <w:ilvl w:val="0"/>
          <w:numId w:val="2"/>
        </w:numPr>
        <w:spacing w:before="170" w:line="296" w:lineRule="auto"/>
        <w:ind w:left="420" w:leftChars="0" w:right="117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2"/>
        </w:rPr>
        <w:t>支持内存缓存技术，常用仪表盘加载速度提升≥3倍，并提</w:t>
      </w:r>
      <w:r>
        <w:rPr>
          <w:rFonts w:hint="eastAsia" w:ascii="宋体" w:hAnsi="宋体" w:eastAsia="宋体" w:cs="宋体"/>
          <w:spacing w:val="1"/>
        </w:rPr>
        <w:t>供缓存刷新策略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spacing w:val="-5"/>
        </w:rPr>
        <w:t>配置</w:t>
      </w:r>
    </w:p>
    <w:p w14:paraId="7722D34E">
      <w:pPr>
        <w:spacing w:line="296" w:lineRule="auto"/>
        <w:rPr>
          <w:rFonts w:hint="eastAsia" w:ascii="宋体" w:hAnsi="宋体" w:eastAsia="宋体" w:cs="宋体"/>
        </w:rPr>
        <w:sectPr>
          <w:pgSz w:w="11906" w:h="16839"/>
          <w:pgMar w:top="1431" w:right="1684" w:bottom="0" w:left="1682" w:header="0" w:footer="0" w:gutter="0"/>
          <w:cols w:space="720" w:num="1"/>
        </w:sectPr>
      </w:pPr>
    </w:p>
    <w:p w14:paraId="4E719B8E">
      <w:pPr>
        <w:pStyle w:val="2"/>
        <w:numPr>
          <w:ilvl w:val="0"/>
          <w:numId w:val="2"/>
        </w:numPr>
        <w:spacing w:before="87" w:line="303" w:lineRule="auto"/>
        <w:ind w:left="420" w:leftChars="0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4"/>
        </w:rPr>
        <w:t>支持主流数据库（如</w:t>
      </w:r>
      <w:r>
        <w:rPr>
          <w:rFonts w:hint="eastAsia" w:ascii="宋体" w:hAnsi="宋体" w:eastAsia="宋体" w:cs="宋体"/>
          <w:spacing w:val="-52"/>
        </w:rPr>
        <w:t xml:space="preserve"> </w:t>
      </w:r>
      <w:r>
        <w:rPr>
          <w:rFonts w:hint="eastAsia" w:ascii="宋体" w:hAnsi="宋体" w:eastAsia="宋体" w:cs="宋体"/>
          <w:spacing w:val="-4"/>
        </w:rPr>
        <w:t>Oracle</w:t>
      </w:r>
      <w:r>
        <w:rPr>
          <w:rFonts w:hint="eastAsia" w:ascii="宋体" w:hAnsi="宋体" w:eastAsia="宋体" w:cs="宋体"/>
          <w:spacing w:val="-32"/>
        </w:rPr>
        <w:t xml:space="preserve"> </w:t>
      </w:r>
      <w:r>
        <w:rPr>
          <w:rFonts w:hint="eastAsia" w:ascii="宋体" w:hAnsi="宋体" w:eastAsia="宋体" w:cs="宋体"/>
          <w:spacing w:val="-4"/>
        </w:rPr>
        <w:t>、MySQL</w:t>
      </w:r>
      <w:r>
        <w:rPr>
          <w:rFonts w:hint="eastAsia" w:ascii="宋体" w:hAnsi="宋体" w:eastAsia="宋体" w:cs="宋体"/>
          <w:spacing w:val="-34"/>
        </w:rPr>
        <w:t xml:space="preserve"> </w:t>
      </w:r>
      <w:r>
        <w:rPr>
          <w:rFonts w:hint="eastAsia" w:ascii="宋体" w:hAnsi="宋体" w:eastAsia="宋体" w:cs="宋体"/>
          <w:spacing w:val="-4"/>
        </w:rPr>
        <w:t>、H</w:t>
      </w:r>
      <w:r>
        <w:rPr>
          <w:rFonts w:hint="eastAsia" w:ascii="宋体" w:hAnsi="宋体" w:eastAsia="宋体" w:cs="宋体"/>
          <w:spacing w:val="-5"/>
        </w:rPr>
        <w:t>ive 等）及文件格式（Excel</w:t>
      </w:r>
      <w:r>
        <w:rPr>
          <w:rFonts w:hint="eastAsia" w:ascii="宋体" w:hAnsi="宋体" w:eastAsia="宋体" w:cs="宋体"/>
          <w:spacing w:val="-32"/>
        </w:rPr>
        <w:t xml:space="preserve"> </w:t>
      </w:r>
      <w:r>
        <w:rPr>
          <w:rFonts w:hint="eastAsia" w:ascii="宋体" w:hAnsi="宋体" w:eastAsia="宋体" w:cs="宋体"/>
          <w:spacing w:val="-5"/>
        </w:rPr>
        <w:t>、CSV、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spacing w:val="-3"/>
        </w:rPr>
        <w:t>JSON</w:t>
      </w:r>
      <w:r>
        <w:rPr>
          <w:rFonts w:hint="eastAsia" w:ascii="宋体" w:hAnsi="宋体" w:eastAsia="宋体" w:cs="宋体"/>
          <w:spacing w:val="-27"/>
        </w:rPr>
        <w:t xml:space="preserve"> </w:t>
      </w:r>
      <w:r>
        <w:rPr>
          <w:rFonts w:hint="eastAsia" w:ascii="宋体" w:hAnsi="宋体" w:eastAsia="宋体" w:cs="宋体"/>
          <w:spacing w:val="-3"/>
        </w:rPr>
        <w:t>、压缩包等）的接入</w:t>
      </w:r>
    </w:p>
    <w:p w14:paraId="15A61F80">
      <w:pPr>
        <w:pStyle w:val="2"/>
        <w:numPr>
          <w:ilvl w:val="0"/>
          <w:numId w:val="2"/>
        </w:numPr>
        <w:spacing w:before="175" w:line="239" w:lineRule="auto"/>
        <w:ind w:left="420" w:leftChars="0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支持≥100</w:t>
      </w:r>
      <w:r>
        <w:rPr>
          <w:rFonts w:hint="eastAsia" w:ascii="宋体" w:hAnsi="宋体" w:eastAsia="宋体" w:cs="宋体"/>
          <w:spacing w:val="17"/>
        </w:rPr>
        <w:t xml:space="preserve"> </w:t>
      </w:r>
      <w:r>
        <w:rPr>
          <w:rFonts w:hint="eastAsia" w:ascii="宋体" w:hAnsi="宋体" w:eastAsia="宋体" w:cs="宋体"/>
          <w:spacing w:val="-1"/>
        </w:rPr>
        <w:t>并发用户访问，千级并发任务调度延迟≤2 秒</w:t>
      </w:r>
    </w:p>
    <w:p w14:paraId="525C2F14">
      <w:pPr>
        <w:pStyle w:val="2"/>
        <w:numPr>
          <w:ilvl w:val="0"/>
          <w:numId w:val="2"/>
        </w:numPr>
        <w:spacing w:before="157" w:line="239" w:lineRule="auto"/>
        <w:ind w:left="420" w:leftChars="0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支持产品扩容多节点，扩容后集群性能线性提升</w:t>
      </w:r>
    </w:p>
    <w:p w14:paraId="1D107538">
      <w:pPr>
        <w:pStyle w:val="2"/>
        <w:numPr>
          <w:ilvl w:val="0"/>
          <w:numId w:val="2"/>
        </w:numPr>
        <w:spacing w:before="155" w:line="294" w:lineRule="auto"/>
        <w:ind w:left="420" w:leftChars="0" w:right="80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2"/>
        </w:rPr>
        <w:t>内置列式存储引擎，支持向量化执行与延迟物化技术，对比行存模式查询性</w:t>
      </w:r>
      <w:r>
        <w:rPr>
          <w:rFonts w:hint="eastAsia" w:ascii="宋体" w:hAnsi="宋体" w:eastAsia="宋体" w:cs="宋体"/>
          <w:spacing w:val="16"/>
        </w:rPr>
        <w:t xml:space="preserve"> </w:t>
      </w:r>
      <w:r>
        <w:rPr>
          <w:rFonts w:hint="eastAsia" w:ascii="宋体" w:hAnsi="宋体" w:eastAsia="宋体" w:cs="宋体"/>
          <w:spacing w:val="-2"/>
        </w:rPr>
        <w:t>能提升≥5 倍</w:t>
      </w:r>
    </w:p>
    <w:p w14:paraId="2AF4AD79">
      <w:pPr>
        <w:spacing w:line="350" w:lineRule="auto"/>
        <w:rPr>
          <w:rFonts w:hint="eastAsia" w:ascii="宋体" w:hAnsi="宋体" w:eastAsia="宋体" w:cs="宋体"/>
          <w:sz w:val="21"/>
        </w:rPr>
      </w:pPr>
    </w:p>
    <w:p w14:paraId="20C193D3">
      <w:pPr>
        <w:spacing w:line="350" w:lineRule="auto"/>
        <w:rPr>
          <w:rFonts w:hint="eastAsia" w:ascii="宋体" w:hAnsi="宋体" w:eastAsia="宋体" w:cs="宋体"/>
          <w:sz w:val="21"/>
        </w:rPr>
      </w:pPr>
    </w:p>
    <w:p w14:paraId="4378B813">
      <w:pPr>
        <w:pStyle w:val="2"/>
        <w:spacing w:before="97" w:line="221" w:lineRule="auto"/>
        <w:ind w:left="21"/>
        <w:outlineLvl w:val="1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6"/>
          <w:sz w:val="30"/>
          <w:szCs w:val="30"/>
        </w:rPr>
        <w:t>4.</w:t>
      </w:r>
      <w:r>
        <w:rPr>
          <w:rFonts w:hint="eastAsia" w:ascii="宋体" w:hAnsi="宋体" w:eastAsia="宋体" w:cs="宋体"/>
          <w:b/>
          <w:bCs/>
          <w:spacing w:val="17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b/>
          <w:bCs/>
          <w:spacing w:val="-6"/>
          <w:sz w:val="30"/>
          <w:szCs w:val="30"/>
        </w:rPr>
        <w:t>系统界面要求</w:t>
      </w:r>
    </w:p>
    <w:p w14:paraId="47A3E4FB">
      <w:pPr>
        <w:spacing w:line="397" w:lineRule="auto"/>
        <w:rPr>
          <w:rFonts w:hint="eastAsia" w:ascii="宋体" w:hAnsi="宋体" w:eastAsia="宋体" w:cs="宋体"/>
          <w:sz w:val="21"/>
        </w:rPr>
      </w:pPr>
    </w:p>
    <w:p w14:paraId="35097149">
      <w:pPr>
        <w:pStyle w:val="2"/>
        <w:spacing w:before="78" w:line="347" w:lineRule="auto"/>
        <w:ind w:left="25" w:right="80" w:firstLine="48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>界面应当美观与简洁，布局应友好，便于用户迅速</w:t>
      </w:r>
      <w:r>
        <w:rPr>
          <w:rFonts w:hint="eastAsia" w:ascii="宋体" w:hAnsi="宋体" w:eastAsia="宋体" w:cs="宋体"/>
          <w:spacing w:val="-4"/>
        </w:rPr>
        <w:t>检索所需信息，从而提升</w:t>
      </w:r>
      <w:r>
        <w:rPr>
          <w:rFonts w:hint="eastAsia" w:ascii="宋体" w:hAnsi="宋体" w:eastAsia="宋体" w:cs="宋体"/>
          <w:spacing w:val="-3"/>
        </w:rPr>
        <w:t>用户体验。</w:t>
      </w:r>
    </w:p>
    <w:p w14:paraId="7045BAA0">
      <w:pPr>
        <w:spacing w:line="242" w:lineRule="auto"/>
        <w:rPr>
          <w:rFonts w:hint="eastAsia" w:ascii="宋体" w:hAnsi="宋体" w:eastAsia="宋体" w:cs="宋体"/>
          <w:sz w:val="21"/>
        </w:rPr>
      </w:pPr>
    </w:p>
    <w:p w14:paraId="66AF1434">
      <w:pPr>
        <w:pStyle w:val="2"/>
        <w:spacing w:before="98" w:line="221" w:lineRule="auto"/>
        <w:ind w:left="29"/>
        <w:outlineLvl w:val="1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8"/>
          <w:sz w:val="30"/>
          <w:szCs w:val="30"/>
        </w:rPr>
        <w:t>5.</w:t>
      </w:r>
      <w:r>
        <w:rPr>
          <w:rFonts w:hint="eastAsia" w:ascii="宋体" w:hAnsi="宋体" w:eastAsia="宋体" w:cs="宋体"/>
          <w:b/>
          <w:bCs/>
          <w:spacing w:val="20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b/>
          <w:bCs/>
          <w:spacing w:val="-8"/>
          <w:sz w:val="30"/>
          <w:szCs w:val="30"/>
        </w:rPr>
        <w:t>系统安全要求</w:t>
      </w:r>
    </w:p>
    <w:p w14:paraId="7E7429E2">
      <w:pPr>
        <w:spacing w:line="385" w:lineRule="auto"/>
        <w:rPr>
          <w:rFonts w:hint="eastAsia" w:ascii="宋体" w:hAnsi="宋体" w:eastAsia="宋体" w:cs="宋体"/>
          <w:sz w:val="21"/>
        </w:rPr>
      </w:pPr>
    </w:p>
    <w:p w14:paraId="33681A2B">
      <w:pPr>
        <w:pStyle w:val="2"/>
        <w:numPr>
          <w:ilvl w:val="0"/>
          <w:numId w:val="3"/>
        </w:numPr>
        <w:spacing w:before="79" w:line="294" w:lineRule="auto"/>
        <w:ind w:left="420" w:leftChars="0" w:right="80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2"/>
        </w:rPr>
        <w:t>网络安全：系统需要满足国家及行业相关技术规范等的网络安全要求，需要</w:t>
      </w:r>
      <w:r>
        <w:rPr>
          <w:rFonts w:hint="eastAsia" w:ascii="宋体" w:hAnsi="宋体" w:eastAsia="宋体" w:cs="宋体"/>
          <w:spacing w:val="-1"/>
        </w:rPr>
        <w:t>定期对存在的安全漏洞进行整改及修复。</w:t>
      </w:r>
    </w:p>
    <w:p w14:paraId="3131C291">
      <w:pPr>
        <w:pStyle w:val="2"/>
        <w:numPr>
          <w:ilvl w:val="0"/>
          <w:numId w:val="3"/>
        </w:numPr>
        <w:spacing w:before="171" w:line="294" w:lineRule="auto"/>
        <w:ind w:left="420" w:leftChars="0" w:right="138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登录安全：要求敏感数据加密，采用用户名+密码登录、</w:t>
      </w:r>
      <w:r>
        <w:rPr>
          <w:rFonts w:hint="eastAsia" w:ascii="宋体" w:hAnsi="宋体" w:eastAsia="宋体" w:cs="宋体"/>
          <w:spacing w:val="-1"/>
        </w:rPr>
        <w:t>短信等验证方式，</w:t>
      </w:r>
      <w:r>
        <w:rPr>
          <w:rFonts w:hint="eastAsia" w:ascii="宋体" w:hAnsi="宋体" w:eastAsia="宋体" w:cs="宋体"/>
          <w:spacing w:val="-2"/>
        </w:rPr>
        <w:t>并考虑和安盾等其他验证方式。</w:t>
      </w:r>
    </w:p>
    <w:p w14:paraId="3CC11200">
      <w:pPr>
        <w:pStyle w:val="2"/>
        <w:numPr>
          <w:ilvl w:val="0"/>
          <w:numId w:val="3"/>
        </w:numPr>
        <w:spacing w:before="171" w:line="294" w:lineRule="auto"/>
        <w:ind w:left="420" w:leftChars="0" w:right="18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6"/>
        </w:rPr>
        <w:t>数据安全：需进行加密存储，确保数据</w:t>
      </w:r>
      <w:r>
        <w:rPr>
          <w:rFonts w:hint="eastAsia" w:ascii="宋体" w:hAnsi="宋体" w:eastAsia="宋体" w:cs="宋体"/>
          <w:spacing w:val="-7"/>
        </w:rPr>
        <w:t>在传输和存储过程中的安全性。同时，</w:t>
      </w:r>
      <w:r>
        <w:rPr>
          <w:rFonts w:hint="eastAsia" w:ascii="宋体" w:hAnsi="宋体" w:eastAsia="宋体" w:cs="宋体"/>
          <w:spacing w:val="-1"/>
        </w:rPr>
        <w:t>应有完善的数据备份和恢复机制，以防止数据丢失或损坏。</w:t>
      </w:r>
    </w:p>
    <w:p w14:paraId="26C9E702">
      <w:pPr>
        <w:spacing w:line="390" w:lineRule="auto"/>
        <w:rPr>
          <w:rFonts w:hint="eastAsia" w:ascii="宋体" w:hAnsi="宋体" w:eastAsia="宋体" w:cs="宋体"/>
          <w:sz w:val="21"/>
        </w:rPr>
      </w:pPr>
    </w:p>
    <w:p w14:paraId="1CA36875">
      <w:pPr>
        <w:pStyle w:val="2"/>
        <w:spacing w:before="98" w:line="219" w:lineRule="auto"/>
        <w:ind w:left="31"/>
        <w:outlineLvl w:val="1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8"/>
          <w:sz w:val="30"/>
          <w:szCs w:val="30"/>
        </w:rPr>
        <w:t>6.</w:t>
      </w:r>
      <w:r>
        <w:rPr>
          <w:rFonts w:hint="eastAsia" w:ascii="宋体" w:hAnsi="宋体" w:eastAsia="宋体" w:cs="宋体"/>
          <w:b/>
          <w:bCs/>
          <w:spacing w:val="19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b/>
          <w:bCs/>
          <w:spacing w:val="-8"/>
          <w:sz w:val="30"/>
          <w:szCs w:val="30"/>
        </w:rPr>
        <w:t>系统权限要求</w:t>
      </w:r>
    </w:p>
    <w:p w14:paraId="11F92E6F">
      <w:pPr>
        <w:spacing w:line="398" w:lineRule="auto"/>
        <w:rPr>
          <w:rFonts w:hint="eastAsia" w:ascii="宋体" w:hAnsi="宋体" w:eastAsia="宋体" w:cs="宋体"/>
          <w:sz w:val="21"/>
        </w:rPr>
      </w:pPr>
    </w:p>
    <w:p w14:paraId="62DA0832">
      <w:pPr>
        <w:pStyle w:val="2"/>
        <w:spacing w:before="79" w:line="347" w:lineRule="auto"/>
        <w:ind w:left="40" w:right="26" w:firstLine="46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>系统应具备完善的权限分级机制，允许设置不同的角</w:t>
      </w:r>
      <w:r>
        <w:rPr>
          <w:rFonts w:hint="eastAsia" w:ascii="宋体" w:hAnsi="宋体" w:eastAsia="宋体" w:cs="宋体"/>
          <w:spacing w:val="-4"/>
        </w:rPr>
        <w:t>色组及其相应的操作权</w:t>
      </w:r>
      <w:r>
        <w:rPr>
          <w:rFonts w:hint="eastAsia" w:ascii="宋体" w:hAnsi="宋体" w:eastAsia="宋体" w:cs="宋体"/>
          <w:spacing w:val="-2"/>
        </w:rPr>
        <w:t>限。超级管理员负责调整这些权限设置，同时，敏感数据需要单独的权限控制。</w:t>
      </w:r>
    </w:p>
    <w:p w14:paraId="07C24FDC">
      <w:pPr>
        <w:spacing w:line="244" w:lineRule="auto"/>
        <w:rPr>
          <w:rFonts w:hint="eastAsia" w:ascii="宋体" w:hAnsi="宋体" w:eastAsia="宋体" w:cs="宋体"/>
          <w:sz w:val="21"/>
        </w:rPr>
      </w:pPr>
    </w:p>
    <w:p w14:paraId="3FAD495E">
      <w:pPr>
        <w:pStyle w:val="2"/>
        <w:spacing w:before="98" w:line="219" w:lineRule="auto"/>
        <w:ind w:left="30"/>
        <w:outlineLvl w:val="1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pacing w:val="-7"/>
          <w:sz w:val="30"/>
          <w:szCs w:val="30"/>
        </w:rPr>
        <w:t>7.</w:t>
      </w:r>
      <w:r>
        <w:rPr>
          <w:rFonts w:hint="eastAsia" w:ascii="宋体" w:hAnsi="宋体" w:eastAsia="宋体" w:cs="宋体"/>
          <w:spacing w:val="16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b/>
          <w:bCs/>
          <w:spacing w:val="-7"/>
          <w:sz w:val="30"/>
          <w:szCs w:val="30"/>
        </w:rPr>
        <w:t>文档与培训</w:t>
      </w:r>
    </w:p>
    <w:p w14:paraId="6B86DF48">
      <w:pPr>
        <w:spacing w:line="390" w:lineRule="auto"/>
        <w:rPr>
          <w:rFonts w:hint="eastAsia" w:ascii="宋体" w:hAnsi="宋体" w:eastAsia="宋体" w:cs="宋体"/>
          <w:sz w:val="21"/>
        </w:rPr>
      </w:pPr>
    </w:p>
    <w:p w14:paraId="63E9C859">
      <w:pPr>
        <w:pStyle w:val="2"/>
        <w:numPr>
          <w:ilvl w:val="0"/>
          <w:numId w:val="3"/>
        </w:numPr>
        <w:spacing w:before="79" w:line="293" w:lineRule="auto"/>
        <w:ind w:left="420" w:leftChars="0" w:right="80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2"/>
        </w:rPr>
        <w:t>供应商需提供完整的项目文档，包括但不限于需求文档、设计文档、用户手</w:t>
      </w:r>
      <w:r>
        <w:rPr>
          <w:rFonts w:hint="eastAsia" w:ascii="宋体" w:hAnsi="宋体" w:eastAsia="宋体" w:cs="宋体"/>
          <w:spacing w:val="16"/>
        </w:rPr>
        <w:t xml:space="preserve"> </w:t>
      </w:r>
      <w:r>
        <w:rPr>
          <w:rFonts w:hint="eastAsia" w:ascii="宋体" w:hAnsi="宋体" w:eastAsia="宋体" w:cs="宋体"/>
          <w:spacing w:val="-4"/>
        </w:rPr>
        <w:t>册等。</w:t>
      </w:r>
    </w:p>
    <w:p w14:paraId="413C5A75">
      <w:pPr>
        <w:pStyle w:val="2"/>
        <w:numPr>
          <w:ilvl w:val="0"/>
          <w:numId w:val="3"/>
        </w:numPr>
        <w:spacing w:before="271" w:line="239" w:lineRule="auto"/>
        <w:ind w:left="420" w:leftChars="0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2"/>
        </w:rPr>
        <w:t>供应商应提供不少于</w:t>
      </w:r>
      <w:r>
        <w:rPr>
          <w:rFonts w:hint="eastAsia" w:ascii="宋体" w:hAnsi="宋体" w:eastAsia="宋体" w:cs="宋体"/>
          <w:spacing w:val="-37"/>
        </w:rPr>
        <w:t xml:space="preserve"> </w:t>
      </w:r>
      <w:r>
        <w:rPr>
          <w:rFonts w:hint="eastAsia" w:ascii="宋体" w:hAnsi="宋体" w:eastAsia="宋体" w:cs="宋体"/>
          <w:spacing w:val="-2"/>
        </w:rPr>
        <w:t>3 场的</w:t>
      </w:r>
      <w:r>
        <w:rPr>
          <w:rFonts w:hint="eastAsia" w:ascii="宋体" w:hAnsi="宋体" w:eastAsia="宋体" w:cs="宋体"/>
          <w:spacing w:val="-56"/>
        </w:rPr>
        <w:t xml:space="preserve"> </w:t>
      </w:r>
      <w:r>
        <w:rPr>
          <w:rFonts w:hint="eastAsia" w:ascii="宋体" w:hAnsi="宋体" w:eastAsia="宋体" w:cs="宋体"/>
          <w:spacing w:val="-2"/>
        </w:rPr>
        <w:t>BI 工具的培训。</w:t>
      </w:r>
    </w:p>
    <w:p w14:paraId="3A21954C">
      <w:pPr>
        <w:spacing w:line="239" w:lineRule="auto"/>
        <w:rPr>
          <w:rFonts w:hint="eastAsia" w:ascii="宋体" w:hAnsi="宋体" w:eastAsia="宋体" w:cs="宋体"/>
        </w:rPr>
        <w:sectPr>
          <w:pgSz w:w="11906" w:h="16839"/>
          <w:pgMar w:top="1431" w:right="1719" w:bottom="0" w:left="1785" w:header="0" w:footer="0" w:gutter="0"/>
          <w:cols w:space="720" w:num="1"/>
        </w:sectPr>
      </w:pPr>
    </w:p>
    <w:p w14:paraId="0B7FE328">
      <w:pPr>
        <w:pStyle w:val="2"/>
        <w:spacing w:before="172" w:line="219" w:lineRule="auto"/>
        <w:ind w:left="126"/>
        <w:outlineLvl w:val="1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pacing w:val="-5"/>
          <w:sz w:val="30"/>
          <w:szCs w:val="30"/>
        </w:rPr>
        <w:t>8.</w:t>
      </w:r>
      <w:r>
        <w:rPr>
          <w:rFonts w:hint="eastAsia" w:ascii="宋体" w:hAnsi="宋体" w:eastAsia="宋体" w:cs="宋体"/>
          <w:spacing w:val="13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b/>
          <w:bCs/>
          <w:spacing w:val="-5"/>
          <w:sz w:val="30"/>
          <w:szCs w:val="30"/>
        </w:rPr>
        <w:t>售后服务与支持</w:t>
      </w:r>
    </w:p>
    <w:p w14:paraId="66BBE237">
      <w:pPr>
        <w:spacing w:line="398" w:lineRule="auto"/>
        <w:rPr>
          <w:rFonts w:hint="eastAsia" w:ascii="宋体" w:hAnsi="宋体" w:eastAsia="宋体" w:cs="宋体"/>
          <w:sz w:val="21"/>
        </w:rPr>
      </w:pPr>
    </w:p>
    <w:p w14:paraId="613A11D6">
      <w:pPr>
        <w:pStyle w:val="2"/>
        <w:spacing w:before="78" w:line="347" w:lineRule="auto"/>
        <w:ind w:left="122" w:right="112" w:firstLine="48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>本项目需提供终验后一年的维保服务，在质保期内，厂家提供</w:t>
      </w:r>
      <w:r>
        <w:rPr>
          <w:rFonts w:hint="eastAsia" w:ascii="宋体" w:hAnsi="宋体" w:eastAsia="宋体" w:cs="宋体"/>
          <w:spacing w:val="-4"/>
        </w:rPr>
        <w:t>技术支持以及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spacing w:val="-1"/>
        </w:rPr>
        <w:t>运维支持。具体如下：</w:t>
      </w:r>
    </w:p>
    <w:p w14:paraId="7D5F870D">
      <w:pPr>
        <w:pStyle w:val="2"/>
        <w:numPr>
          <w:ilvl w:val="0"/>
          <w:numId w:val="3"/>
        </w:numPr>
        <w:spacing w:before="124" w:line="239" w:lineRule="auto"/>
        <w:ind w:left="420" w:leftChars="0" w:hanging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7"/>
        </w:rPr>
        <w:t>技术支持</w:t>
      </w:r>
    </w:p>
    <w:p w14:paraId="40116673">
      <w:pPr>
        <w:spacing w:line="152" w:lineRule="exact"/>
        <w:rPr>
          <w:rFonts w:hint="eastAsia" w:ascii="宋体" w:hAnsi="宋体" w:eastAsia="宋体" w:cs="宋体"/>
        </w:rPr>
      </w:pP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2"/>
        <w:gridCol w:w="3151"/>
        <w:gridCol w:w="2128"/>
        <w:gridCol w:w="2135"/>
      </w:tblGrid>
      <w:tr w14:paraId="4D3B40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1112" w:type="dxa"/>
            <w:vAlign w:val="top"/>
          </w:tcPr>
          <w:p w14:paraId="13AFD4B4">
            <w:pPr>
              <w:pStyle w:val="6"/>
              <w:spacing w:before="64" w:line="228" w:lineRule="auto"/>
              <w:ind w:left="13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</w:rPr>
              <w:t>问题级别</w:t>
            </w:r>
          </w:p>
        </w:tc>
        <w:tc>
          <w:tcPr>
            <w:tcW w:w="3151" w:type="dxa"/>
            <w:vAlign w:val="top"/>
          </w:tcPr>
          <w:p w14:paraId="76C1F9C4">
            <w:pPr>
              <w:pStyle w:val="6"/>
              <w:spacing w:before="64" w:line="228" w:lineRule="auto"/>
              <w:ind w:left="11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定义标准</w:t>
            </w:r>
          </w:p>
        </w:tc>
        <w:tc>
          <w:tcPr>
            <w:tcW w:w="2128" w:type="dxa"/>
            <w:vAlign w:val="top"/>
          </w:tcPr>
          <w:p w14:paraId="25F16110">
            <w:pPr>
              <w:pStyle w:val="6"/>
              <w:spacing w:before="64" w:line="228" w:lineRule="auto"/>
              <w:ind w:left="12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4"/>
              </w:rPr>
              <w:t>响应目标</w:t>
            </w:r>
          </w:p>
        </w:tc>
        <w:tc>
          <w:tcPr>
            <w:tcW w:w="2135" w:type="dxa"/>
            <w:vAlign w:val="top"/>
          </w:tcPr>
          <w:p w14:paraId="4B13C032">
            <w:pPr>
              <w:pStyle w:val="6"/>
              <w:spacing w:before="64" w:line="228" w:lineRule="auto"/>
              <w:ind w:left="11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7"/>
              </w:rPr>
              <w:t>解决目标</w:t>
            </w:r>
          </w:p>
        </w:tc>
      </w:tr>
      <w:tr w14:paraId="0E6C29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1" w:hRule="atLeast"/>
        </w:trPr>
        <w:tc>
          <w:tcPr>
            <w:tcW w:w="1112" w:type="dxa"/>
            <w:vAlign w:val="top"/>
          </w:tcPr>
          <w:p w14:paraId="7B843BFB">
            <w:pPr>
              <w:spacing w:line="242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6AD40CED">
            <w:pPr>
              <w:spacing w:line="242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22C818C">
            <w:pPr>
              <w:pStyle w:val="6"/>
              <w:spacing w:before="65" w:line="189" w:lineRule="auto"/>
              <w:ind w:left="11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</w:rPr>
              <w:t>P0</w:t>
            </w:r>
          </w:p>
        </w:tc>
        <w:tc>
          <w:tcPr>
            <w:tcW w:w="3151" w:type="dxa"/>
            <w:vAlign w:val="top"/>
          </w:tcPr>
          <w:p w14:paraId="0BB0824A">
            <w:pPr>
              <w:spacing w:line="297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67D17EF5">
            <w:pPr>
              <w:pStyle w:val="6"/>
              <w:spacing w:before="65" w:line="273" w:lineRule="auto"/>
              <w:ind w:left="121" w:right="108" w:hanging="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8"/>
              </w:rPr>
              <w:t>系统瘫痪、数据丢失、安全漏洞</w:t>
            </w:r>
            <w:r>
              <w:rPr>
                <w:rFonts w:hint="eastAsia" w:ascii="宋体" w:hAnsi="宋体" w:eastAsia="宋体" w:cs="宋体"/>
                <w:spacing w:val="7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6"/>
              </w:rPr>
              <w:t>（如未授权访问）</w:t>
            </w:r>
          </w:p>
        </w:tc>
        <w:tc>
          <w:tcPr>
            <w:tcW w:w="2128" w:type="dxa"/>
            <w:vAlign w:val="top"/>
          </w:tcPr>
          <w:p w14:paraId="22C0C970">
            <w:pPr>
              <w:spacing w:line="451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25830CB4">
            <w:pPr>
              <w:pStyle w:val="6"/>
              <w:spacing w:before="65" w:line="228" w:lineRule="auto"/>
              <w:ind w:left="12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4"/>
              </w:rPr>
              <w:t>10分钟内电话响应</w:t>
            </w:r>
          </w:p>
        </w:tc>
        <w:tc>
          <w:tcPr>
            <w:tcW w:w="2135" w:type="dxa"/>
            <w:vAlign w:val="top"/>
          </w:tcPr>
          <w:p w14:paraId="37A06944">
            <w:pPr>
              <w:pStyle w:val="6"/>
              <w:spacing w:before="49" w:line="275" w:lineRule="auto"/>
              <w:ind w:left="115" w:right="109" w:firstLine="13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2"/>
              </w:rPr>
              <w:t>1小时内提供临时方</w:t>
            </w:r>
            <w:r>
              <w:rPr>
                <w:rFonts w:hint="eastAsia" w:ascii="宋体" w:hAnsi="宋体" w:eastAsia="宋体" w:cs="宋体"/>
                <w:spacing w:val="14"/>
              </w:rPr>
              <w:t>案，4小时内永久修</w:t>
            </w:r>
            <w:r>
              <w:rPr>
                <w:rFonts w:hint="eastAsia" w:ascii="宋体" w:hAnsi="宋体" w:eastAsia="宋体" w:cs="宋体"/>
                <w:spacing w:val="11"/>
              </w:rPr>
              <w:t>复（漏洞修复按商定</w:t>
            </w:r>
            <w:r>
              <w:rPr>
                <w:rFonts w:hint="eastAsia" w:ascii="宋体" w:hAnsi="宋体" w:eastAsia="宋体" w:cs="宋体"/>
                <w:spacing w:val="5"/>
              </w:rPr>
              <w:t>时间完成）</w:t>
            </w:r>
          </w:p>
        </w:tc>
      </w:tr>
      <w:tr w14:paraId="61DD19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12" w:type="dxa"/>
            <w:vAlign w:val="top"/>
          </w:tcPr>
          <w:p w14:paraId="7A691C07">
            <w:pPr>
              <w:pStyle w:val="6"/>
              <w:spacing w:before="243" w:line="189" w:lineRule="auto"/>
              <w:ind w:left="11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</w:rPr>
              <w:t>P1</w:t>
            </w:r>
          </w:p>
        </w:tc>
        <w:tc>
          <w:tcPr>
            <w:tcW w:w="3151" w:type="dxa"/>
            <w:vAlign w:val="top"/>
          </w:tcPr>
          <w:p w14:paraId="70A7C4F6">
            <w:pPr>
              <w:pStyle w:val="6"/>
              <w:spacing w:before="54" w:line="260" w:lineRule="auto"/>
              <w:ind w:left="112" w:right="106" w:firstLine="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4"/>
              </w:rPr>
              <w:t>核心功能异常（如任务分配失</w:t>
            </w:r>
            <w:r>
              <w:rPr>
                <w:rFonts w:hint="eastAsia" w:ascii="宋体" w:hAnsi="宋体" w:eastAsia="宋体" w:cs="宋体"/>
                <w:spacing w:val="1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</w:rPr>
              <w:t>败、报表生成错误）</w:t>
            </w:r>
          </w:p>
        </w:tc>
        <w:tc>
          <w:tcPr>
            <w:tcW w:w="2128" w:type="dxa"/>
            <w:vAlign w:val="top"/>
          </w:tcPr>
          <w:p w14:paraId="1E479711">
            <w:pPr>
              <w:pStyle w:val="6"/>
              <w:spacing w:before="210" w:line="228" w:lineRule="auto"/>
              <w:ind w:left="11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30分钟内电话响应</w:t>
            </w:r>
          </w:p>
        </w:tc>
        <w:tc>
          <w:tcPr>
            <w:tcW w:w="2135" w:type="dxa"/>
            <w:vAlign w:val="top"/>
          </w:tcPr>
          <w:p w14:paraId="07DB1CEA">
            <w:pPr>
              <w:pStyle w:val="6"/>
              <w:spacing w:before="54" w:line="260" w:lineRule="auto"/>
              <w:ind w:left="116" w:right="109" w:hanging="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4"/>
              </w:rPr>
              <w:t>8小时内提供修复补</w:t>
            </w:r>
            <w:r>
              <w:rPr>
                <w:rFonts w:hint="eastAsia" w:ascii="宋体" w:hAnsi="宋体" w:eastAsia="宋体" w:cs="宋体"/>
              </w:rPr>
              <w:t>丁</w:t>
            </w:r>
          </w:p>
        </w:tc>
      </w:tr>
      <w:tr w14:paraId="09169D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12" w:type="dxa"/>
            <w:vAlign w:val="top"/>
          </w:tcPr>
          <w:p w14:paraId="0E887A41">
            <w:pPr>
              <w:pStyle w:val="6"/>
              <w:spacing w:before="244" w:line="189" w:lineRule="auto"/>
              <w:ind w:left="11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</w:rPr>
              <w:t>P2</w:t>
            </w:r>
          </w:p>
        </w:tc>
        <w:tc>
          <w:tcPr>
            <w:tcW w:w="3151" w:type="dxa"/>
            <w:vAlign w:val="top"/>
          </w:tcPr>
          <w:p w14:paraId="4A20511A">
            <w:pPr>
              <w:pStyle w:val="6"/>
              <w:spacing w:before="56" w:line="259" w:lineRule="auto"/>
              <w:ind w:left="113" w:right="106" w:firstLine="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5"/>
              </w:rPr>
              <w:t>一般功能缺陷（如</w:t>
            </w:r>
            <w:r>
              <w:rPr>
                <w:rFonts w:hint="eastAsia" w:ascii="宋体" w:hAnsi="宋体" w:eastAsia="宋体" w:cs="宋体"/>
                <w:spacing w:val="-27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UI</w:t>
            </w:r>
            <w:r>
              <w:rPr>
                <w:rFonts w:hint="eastAsia" w:ascii="宋体" w:hAnsi="宋体" w:eastAsia="宋体" w:cs="宋体"/>
                <w:spacing w:val="-3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5"/>
              </w:rPr>
              <w:t>错位、提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5"/>
              </w:rPr>
              <w:t>示语歧义）</w:t>
            </w:r>
          </w:p>
        </w:tc>
        <w:tc>
          <w:tcPr>
            <w:tcW w:w="2128" w:type="dxa"/>
            <w:vAlign w:val="top"/>
          </w:tcPr>
          <w:p w14:paraId="1BB40B6C">
            <w:pPr>
              <w:pStyle w:val="6"/>
              <w:spacing w:before="56" w:line="259" w:lineRule="auto"/>
              <w:ind w:left="123" w:right="105" w:hanging="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3"/>
              </w:rPr>
              <w:t>2小时内邮件/工单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</w:rPr>
              <w:t>响应</w:t>
            </w:r>
          </w:p>
        </w:tc>
        <w:tc>
          <w:tcPr>
            <w:tcW w:w="2135" w:type="dxa"/>
            <w:vAlign w:val="top"/>
          </w:tcPr>
          <w:p w14:paraId="3E278470">
            <w:pPr>
              <w:pStyle w:val="6"/>
              <w:spacing w:before="211" w:line="228" w:lineRule="auto"/>
              <w:ind w:left="11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6"/>
              </w:rPr>
              <w:t>3</w:t>
            </w:r>
            <w:r>
              <w:rPr>
                <w:rFonts w:hint="eastAsia" w:ascii="宋体" w:hAnsi="宋体" w:eastAsia="宋体" w:cs="宋体"/>
                <w:spacing w:val="-3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6"/>
              </w:rPr>
              <w:t>个工作日内修复</w:t>
            </w:r>
          </w:p>
        </w:tc>
      </w:tr>
      <w:tr w14:paraId="02C422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112" w:type="dxa"/>
            <w:vAlign w:val="top"/>
          </w:tcPr>
          <w:p w14:paraId="5397E166">
            <w:pPr>
              <w:pStyle w:val="6"/>
              <w:spacing w:before="245" w:line="189" w:lineRule="auto"/>
              <w:ind w:left="11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</w:rPr>
              <w:t>P3</w:t>
            </w:r>
          </w:p>
        </w:tc>
        <w:tc>
          <w:tcPr>
            <w:tcW w:w="3151" w:type="dxa"/>
            <w:vAlign w:val="top"/>
          </w:tcPr>
          <w:p w14:paraId="09F2F424">
            <w:pPr>
              <w:pStyle w:val="6"/>
              <w:spacing w:before="57" w:line="261" w:lineRule="auto"/>
              <w:ind w:left="111" w:right="106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9"/>
              </w:rPr>
              <w:t>优化建议（如性能提升、操作便</w:t>
            </w:r>
            <w:r>
              <w:rPr>
                <w:rFonts w:hint="eastAsia" w:ascii="宋体" w:hAnsi="宋体" w:eastAsia="宋体" w:cs="宋体"/>
                <w:spacing w:val="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6"/>
              </w:rPr>
              <w:t>捷性改进）</w:t>
            </w:r>
          </w:p>
        </w:tc>
        <w:tc>
          <w:tcPr>
            <w:tcW w:w="2128" w:type="dxa"/>
            <w:vAlign w:val="top"/>
          </w:tcPr>
          <w:p w14:paraId="7B5E4BAE">
            <w:pPr>
              <w:pStyle w:val="6"/>
              <w:spacing w:before="57" w:line="261" w:lineRule="auto"/>
              <w:ind w:left="122" w:right="105" w:hanging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3"/>
              </w:rPr>
              <w:t>8</w:t>
            </w:r>
            <w:r>
              <w:rPr>
                <w:rFonts w:hint="eastAsia" w:ascii="宋体" w:hAnsi="宋体" w:eastAsia="宋体" w:cs="宋体"/>
                <w:spacing w:val="-5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3"/>
              </w:rPr>
              <w:t>小时内邮件/工单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</w:rPr>
              <w:t>响应</w:t>
            </w:r>
          </w:p>
        </w:tc>
        <w:tc>
          <w:tcPr>
            <w:tcW w:w="2135" w:type="dxa"/>
            <w:vAlign w:val="top"/>
          </w:tcPr>
          <w:p w14:paraId="3DD90F4C">
            <w:pPr>
              <w:pStyle w:val="6"/>
              <w:spacing w:before="57" w:line="261" w:lineRule="auto"/>
              <w:ind w:left="113" w:right="109" w:firstLine="4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4"/>
              </w:rPr>
              <w:t>3</w:t>
            </w:r>
            <w:r>
              <w:rPr>
                <w:rFonts w:hint="eastAsia" w:ascii="宋体" w:hAnsi="宋体" w:eastAsia="宋体" w:cs="宋体"/>
                <w:spacing w:val="-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4"/>
              </w:rPr>
              <w:t>个工作日内完成评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</w:rPr>
              <w:t>估并反馈计划</w:t>
            </w:r>
          </w:p>
        </w:tc>
      </w:tr>
    </w:tbl>
    <w:p w14:paraId="0AF63731">
      <w:pPr>
        <w:pStyle w:val="2"/>
        <w:numPr>
          <w:ilvl w:val="0"/>
          <w:numId w:val="4"/>
        </w:numPr>
        <w:spacing w:before="205" w:line="411" w:lineRule="auto"/>
        <w:ind w:left="425" w:leftChars="0" w:right="7038" w:rightChars="0" w:hanging="425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6"/>
        </w:rPr>
        <w:t>运维支持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spacing w:val="-13"/>
        </w:rPr>
        <w:t>日常巡检</w:t>
      </w:r>
    </w:p>
    <w:p w14:paraId="2ED505C1">
      <w:pPr>
        <w:pStyle w:val="2"/>
        <w:spacing w:before="78" w:line="295" w:lineRule="auto"/>
        <w:ind w:left="542" w:right="112" w:hanging="41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position w:val="3"/>
        </w:rPr>
        <w:drawing>
          <wp:inline distT="0" distB="0" distL="0" distR="0">
            <wp:extent cx="108585" cy="9906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661" cy="99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spacing w:val="-1"/>
        </w:rPr>
        <w:t>频率：每月一次全量巡检（含系统日志分析、磁</w:t>
      </w:r>
      <w:r>
        <w:rPr>
          <w:rFonts w:hint="eastAsia" w:ascii="宋体" w:hAnsi="宋体" w:eastAsia="宋体" w:cs="宋体"/>
          <w:spacing w:val="-2"/>
        </w:rPr>
        <w:t>盘空间清理、备份完整性验</w:t>
      </w:r>
      <w:r>
        <w:rPr>
          <w:rFonts w:hint="eastAsia" w:ascii="宋体" w:hAnsi="宋体" w:eastAsia="宋体" w:cs="宋体"/>
          <w:spacing w:val="1"/>
        </w:rPr>
        <w:t xml:space="preserve"> </w:t>
      </w:r>
      <w:r>
        <w:rPr>
          <w:rFonts w:hint="eastAsia" w:ascii="宋体" w:hAnsi="宋体" w:eastAsia="宋体" w:cs="宋体"/>
          <w:spacing w:val="-33"/>
        </w:rPr>
        <w:t>证）。</w:t>
      </w:r>
    </w:p>
    <w:p w14:paraId="02173A6B">
      <w:pPr>
        <w:pStyle w:val="2"/>
        <w:spacing w:before="267" w:line="219" w:lineRule="auto"/>
        <w:ind w:left="13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position w:val="2"/>
        </w:rPr>
        <w:drawing>
          <wp:inline distT="0" distB="0" distL="0" distR="0">
            <wp:extent cx="108585" cy="9906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661" cy="99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17"/>
        </w:rPr>
        <w:t xml:space="preserve">  </w:t>
      </w:r>
      <w:r>
        <w:rPr>
          <w:rFonts w:hint="eastAsia" w:ascii="宋体" w:hAnsi="宋体" w:eastAsia="宋体" w:cs="宋体"/>
          <w:spacing w:val="-3"/>
        </w:rPr>
        <w:t>内容：核心服务健康检查（如API</w:t>
      </w:r>
      <w:r>
        <w:rPr>
          <w:rFonts w:hint="eastAsia" w:ascii="宋体" w:hAnsi="宋体" w:eastAsia="宋体" w:cs="宋体"/>
          <w:spacing w:val="-38"/>
        </w:rPr>
        <w:t xml:space="preserve"> </w:t>
      </w:r>
      <w:r>
        <w:rPr>
          <w:rFonts w:hint="eastAsia" w:ascii="宋体" w:hAnsi="宋体" w:eastAsia="宋体" w:cs="宋体"/>
          <w:spacing w:val="-3"/>
        </w:rPr>
        <w:t>响应时间、数据库连接池状态）。</w:t>
      </w:r>
    </w:p>
    <w:p w14:paraId="3375B555">
      <w:pPr>
        <w:pStyle w:val="2"/>
        <w:spacing w:before="284" w:line="219" w:lineRule="auto"/>
        <w:ind w:left="13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position w:val="2"/>
        </w:rPr>
        <w:drawing>
          <wp:inline distT="0" distB="0" distL="0" distR="0">
            <wp:extent cx="108585" cy="9906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661" cy="99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5"/>
        </w:rPr>
        <w:t xml:space="preserve">  </w:t>
      </w:r>
      <w:r>
        <w:rPr>
          <w:rFonts w:hint="eastAsia" w:ascii="宋体" w:hAnsi="宋体" w:eastAsia="宋体" w:cs="宋体"/>
          <w:spacing w:val="-4"/>
        </w:rPr>
        <w:t>资源使用率监控（CPU/内存/磁盘</w:t>
      </w:r>
      <w:r>
        <w:rPr>
          <w:rFonts w:hint="eastAsia" w:ascii="宋体" w:hAnsi="宋体" w:eastAsia="宋体" w:cs="宋体"/>
          <w:spacing w:val="-36"/>
        </w:rPr>
        <w:t xml:space="preserve"> </w:t>
      </w:r>
      <w:r>
        <w:rPr>
          <w:rFonts w:hint="eastAsia" w:ascii="宋体" w:hAnsi="宋体" w:eastAsia="宋体" w:cs="宋体"/>
          <w:spacing w:val="-4"/>
        </w:rPr>
        <w:t>IOPS</w:t>
      </w:r>
      <w:r>
        <w:rPr>
          <w:rFonts w:hint="eastAsia" w:ascii="宋体" w:hAnsi="宋体" w:eastAsia="宋体" w:cs="宋体"/>
          <w:spacing w:val="-50"/>
        </w:rPr>
        <w:t xml:space="preserve"> </w:t>
      </w:r>
      <w:r>
        <w:rPr>
          <w:rFonts w:hint="eastAsia" w:ascii="宋体" w:hAnsi="宋体" w:eastAsia="宋体" w:cs="宋体"/>
          <w:spacing w:val="-4"/>
        </w:rPr>
        <w:t>使用率</w:t>
      </w:r>
      <w:r>
        <w:rPr>
          <w:rFonts w:hint="eastAsia" w:ascii="宋体" w:hAnsi="宋体" w:eastAsia="宋体" w:cs="宋体"/>
          <w:spacing w:val="-5"/>
        </w:rPr>
        <w:t>≤75%时预警）。</w:t>
      </w:r>
    </w:p>
    <w:p w14:paraId="4BD88D9C">
      <w:pPr>
        <w:pStyle w:val="2"/>
        <w:spacing w:before="284" w:line="218" w:lineRule="auto"/>
        <w:ind w:left="12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>巡检报告</w:t>
      </w:r>
    </w:p>
    <w:p w14:paraId="039B5CF9">
      <w:pPr>
        <w:pStyle w:val="2"/>
        <w:spacing w:before="283" w:line="219" w:lineRule="auto"/>
        <w:ind w:left="13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1）格式要求：PDF</w:t>
      </w:r>
      <w:r>
        <w:rPr>
          <w:rFonts w:hint="eastAsia" w:ascii="宋体" w:hAnsi="宋体" w:eastAsia="宋体" w:cs="宋体"/>
          <w:spacing w:val="-51"/>
        </w:rPr>
        <w:t xml:space="preserve"> </w:t>
      </w:r>
      <w:r>
        <w:rPr>
          <w:rFonts w:hint="eastAsia" w:ascii="宋体" w:hAnsi="宋体" w:eastAsia="宋体" w:cs="宋体"/>
          <w:spacing w:val="-1"/>
        </w:rPr>
        <w:t>格式，含签名及时间戳，通过采购方指定邮箱/系统提</w:t>
      </w:r>
      <w:r>
        <w:rPr>
          <w:rFonts w:hint="eastAsia" w:ascii="宋体" w:hAnsi="宋体" w:eastAsia="宋体" w:cs="宋体"/>
          <w:spacing w:val="-2"/>
        </w:rPr>
        <w:t>交。</w:t>
      </w:r>
    </w:p>
    <w:p w14:paraId="7C2AD746">
      <w:pPr>
        <w:pStyle w:val="2"/>
        <w:spacing w:before="285" w:line="219" w:lineRule="auto"/>
        <w:ind w:left="125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2"/>
        </w:rPr>
        <w:t>2）必含内容：</w:t>
      </w:r>
    </w:p>
    <w:p w14:paraId="3DB33659">
      <w:pPr>
        <w:pStyle w:val="2"/>
        <w:spacing w:before="284" w:line="219" w:lineRule="auto"/>
        <w:ind w:left="13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position w:val="3"/>
        </w:rPr>
        <w:drawing>
          <wp:inline distT="0" distB="0" distL="0" distR="0">
            <wp:extent cx="108585" cy="9906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661" cy="99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2"/>
        </w:rPr>
        <w:t xml:space="preserve">  </w:t>
      </w:r>
      <w:r>
        <w:rPr>
          <w:rFonts w:hint="eastAsia" w:ascii="宋体" w:hAnsi="宋体" w:eastAsia="宋体" w:cs="宋体"/>
          <w:spacing w:val="-1"/>
        </w:rPr>
        <w:t>巡检时间、执行人、检查项清单。</w:t>
      </w:r>
    </w:p>
    <w:p w14:paraId="4E0ACDA9">
      <w:pPr>
        <w:pStyle w:val="2"/>
        <w:spacing w:before="280" w:line="219" w:lineRule="auto"/>
        <w:ind w:left="13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position w:val="2"/>
        </w:rPr>
        <w:drawing>
          <wp:inline distT="0" distB="0" distL="0" distR="0">
            <wp:extent cx="108585" cy="9906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661" cy="99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4"/>
        </w:rPr>
        <w:t xml:space="preserve">  </w:t>
      </w:r>
      <w:r>
        <w:rPr>
          <w:rFonts w:hint="eastAsia" w:ascii="宋体" w:hAnsi="宋体" w:eastAsia="宋体" w:cs="宋体"/>
          <w:spacing w:val="-5"/>
        </w:rPr>
        <w:t>发现问题分类统计（按严重等级、模块分布）。</w:t>
      </w:r>
    </w:p>
    <w:p w14:paraId="30078E10">
      <w:pPr>
        <w:pStyle w:val="2"/>
        <w:spacing w:before="286" w:line="219" w:lineRule="auto"/>
        <w:ind w:left="13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position w:val="2"/>
        </w:rPr>
        <w:drawing>
          <wp:inline distT="0" distB="0" distL="0" distR="0">
            <wp:extent cx="108585" cy="9906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661" cy="99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7"/>
        </w:rPr>
        <w:t xml:space="preserve">  </w:t>
      </w:r>
      <w:r>
        <w:rPr>
          <w:rFonts w:hint="eastAsia" w:ascii="宋体" w:hAnsi="宋体" w:eastAsia="宋体" w:cs="宋体"/>
          <w:spacing w:val="-3"/>
        </w:rPr>
        <w:t>改进建议及计划。</w:t>
      </w:r>
    </w:p>
    <w:sectPr>
      <w:pgSz w:w="11906" w:h="16839"/>
      <w:pgMar w:top="1431" w:right="1687" w:bottom="0" w:left="16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B5CED"/>
    <w:multiLevelType w:val="singleLevel"/>
    <w:tmpl w:val="AD3B5CE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BB3890C4"/>
    <w:multiLevelType w:val="singleLevel"/>
    <w:tmpl w:val="BB3890C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F8A392DA"/>
    <w:multiLevelType w:val="singleLevel"/>
    <w:tmpl w:val="F8A392D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45C126AE"/>
    <w:multiLevelType w:val="singleLevel"/>
    <w:tmpl w:val="45C126A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FE2509"/>
    <w:rsid w:val="10B05BB6"/>
    <w:rsid w:val="248E7F46"/>
    <w:rsid w:val="7DCB7A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2859</Words>
  <Characters>3011</Characters>
  <TotalTime>7</TotalTime>
  <ScaleCrop>false</ScaleCrop>
  <LinksUpToDate>false</LinksUpToDate>
  <CharactersWithSpaces>3131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2025-05-16T15:06:00Z</dcterms:created>
  <dc:creator>Xx.</dc:creator>
  <cp:lastModifiedBy>Administrator</cp:lastModifiedBy>
  <dcterms:modified xsi:type="dcterms:W3CDTF">2025-05-26T10:16:41Z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2025-05-26T10:19:56Z</vt:filetime>
  </property>
  <property fmtid="{D5CDD505-2E9C-101B-9397-08002B2CF9AE}" pid="4" name="KSOTemplateDocerSaveRecord">
    <vt:lpwstr>eyJoZGlkIjoiYzdiYTk4NTJmNmQyMzkyY2JkMDMwODExMjI0ZDM5NjEiLCJ1c2VySWQiOiIxMzM3Mjc0MjMxIn0=</vt:lpwstr>
  </property>
  <property fmtid="{D5CDD505-2E9C-101B-9397-08002B2CF9AE}" pid="5" name="KSOProductBuildVer">
    <vt:lpwstr>2052-12.1.0.20305</vt:lpwstr>
  </property>
  <property fmtid="{D5CDD505-2E9C-101B-9397-08002B2CF9AE}" pid="6" name="ICV">
    <vt:lpwstr>9E57EBF5D2B6487F89C231C2192E4FE4_13</vt:lpwstr>
  </property>
</Properties>
</file>