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D6850" w14:textId="1545C276" w:rsidR="00E84B42" w:rsidRPr="008412B8" w:rsidRDefault="009119C3" w:rsidP="008412B8">
      <w:pPr>
        <w:spacing w:line="360" w:lineRule="auto"/>
        <w:rPr>
          <w:rFonts w:ascii="宋体" w:eastAsia="宋体" w:hAnsi="宋体" w:cs="微软雅黑"/>
          <w:sz w:val="24"/>
          <w:szCs w:val="24"/>
        </w:rPr>
      </w:pPr>
      <w:r w:rsidRPr="008412B8">
        <w:rPr>
          <w:rFonts w:ascii="宋体" w:eastAsia="宋体" w:hAnsi="宋体" w:cs="微软雅黑" w:hint="eastAsia"/>
          <w:sz w:val="24"/>
          <w:szCs w:val="24"/>
        </w:rPr>
        <w:t>本期项目计划采购</w:t>
      </w:r>
      <w:r w:rsidRPr="008412B8">
        <w:rPr>
          <w:rFonts w:ascii="宋体" w:eastAsia="宋体" w:hAnsi="宋体" w:cs="微软雅黑"/>
          <w:sz w:val="24"/>
          <w:szCs w:val="24"/>
        </w:rPr>
        <w:t>11</w:t>
      </w:r>
      <w:r w:rsidRPr="008412B8">
        <w:rPr>
          <w:rFonts w:ascii="宋体" w:eastAsia="宋体" w:hAnsi="宋体" w:cs="微软雅黑" w:hint="eastAsia"/>
          <w:sz w:val="24"/>
          <w:szCs w:val="24"/>
        </w:rPr>
        <w:t>台物理服务器用于智能</w:t>
      </w:r>
      <w:proofErr w:type="gramStart"/>
      <w:r w:rsidRPr="008412B8">
        <w:rPr>
          <w:rFonts w:ascii="宋体" w:eastAsia="宋体" w:hAnsi="宋体" w:cs="微软雅黑" w:hint="eastAsia"/>
          <w:sz w:val="24"/>
          <w:szCs w:val="24"/>
        </w:rPr>
        <w:t>媒资系统</w:t>
      </w:r>
      <w:proofErr w:type="gramEnd"/>
      <w:r w:rsidRPr="008412B8">
        <w:rPr>
          <w:rFonts w:ascii="宋体" w:eastAsia="宋体" w:hAnsi="宋体" w:cs="微软雅黑" w:hint="eastAsia"/>
          <w:sz w:val="24"/>
          <w:szCs w:val="24"/>
        </w:rPr>
        <w:t>建设工作</w:t>
      </w:r>
    </w:p>
    <w:p w14:paraId="5D4D14CE" w14:textId="71240D9B" w:rsidR="008412B8" w:rsidRPr="008412B8" w:rsidRDefault="009119C3" w:rsidP="008412B8">
      <w:pPr>
        <w:spacing w:line="360" w:lineRule="auto"/>
        <w:rPr>
          <w:rFonts w:ascii="宋体" w:eastAsia="宋体" w:hAnsi="宋体" w:cs="微软雅黑"/>
          <w:sz w:val="24"/>
          <w:szCs w:val="24"/>
        </w:rPr>
      </w:pPr>
      <w:r w:rsidRPr="008412B8">
        <w:rPr>
          <w:rFonts w:ascii="宋体" w:eastAsia="宋体" w:hAnsi="宋体" w:cs="微软雅黑" w:hint="eastAsia"/>
          <w:sz w:val="24"/>
          <w:szCs w:val="24"/>
        </w:rPr>
        <w:t>具体需求如下</w:t>
      </w:r>
    </w:p>
    <w:p w14:paraId="7CDE24FE" w14:textId="1C659BC7" w:rsidR="008412B8" w:rsidRPr="008412B8" w:rsidRDefault="008412B8" w:rsidP="008412B8">
      <w:pPr>
        <w:spacing w:line="360" w:lineRule="auto"/>
        <w:ind w:leftChars="-405" w:left="-850"/>
        <w:rPr>
          <w:rFonts w:ascii="宋体" w:eastAsia="宋体" w:hAnsi="宋体" w:cs="微软雅黑"/>
          <w:sz w:val="24"/>
          <w:szCs w:val="24"/>
        </w:rPr>
      </w:pPr>
      <w:r w:rsidRPr="008412B8">
        <w:rPr>
          <w:rFonts w:ascii="宋体" w:eastAsia="宋体" w:hAnsi="宋体" w:cs="微软雅黑" w:hint="eastAsia"/>
          <w:sz w:val="24"/>
          <w:szCs w:val="24"/>
        </w:rPr>
        <w:t>一、采购内容</w:t>
      </w: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218"/>
        <w:gridCol w:w="567"/>
        <w:gridCol w:w="6804"/>
        <w:gridCol w:w="1701"/>
      </w:tblGrid>
      <w:tr w:rsidR="009119C3" w:rsidRPr="008412B8" w14:paraId="616A2A3E" w14:textId="77777777" w:rsidTr="00BB3082">
        <w:trPr>
          <w:trHeight w:val="465"/>
        </w:trPr>
        <w:tc>
          <w:tcPr>
            <w:tcW w:w="625" w:type="dxa"/>
            <w:shd w:val="clear" w:color="auto" w:fill="auto"/>
            <w:vAlign w:val="center"/>
            <w:hideMark/>
          </w:tcPr>
          <w:p w14:paraId="2365FA76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14:paraId="1A464488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硬件类型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BFC9B6" w14:textId="77777777" w:rsidR="009119C3" w:rsidRPr="008412B8" w:rsidRDefault="009119C3" w:rsidP="008412B8">
            <w:pPr>
              <w:widowControl/>
              <w:spacing w:after="120"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14:paraId="1CA9F65A" w14:textId="77777777" w:rsidR="009119C3" w:rsidRPr="008412B8" w:rsidRDefault="009119C3" w:rsidP="008412B8">
            <w:pPr>
              <w:widowControl/>
              <w:spacing w:after="120"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硬件配置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5CAD1E" w14:textId="77777777" w:rsidR="009119C3" w:rsidRPr="008412B8" w:rsidRDefault="009119C3" w:rsidP="008412B8">
            <w:pPr>
              <w:widowControl/>
              <w:spacing w:after="120"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9119C3" w:rsidRPr="008412B8" w14:paraId="719433AF" w14:textId="77777777" w:rsidTr="00BB3082">
        <w:trPr>
          <w:trHeight w:val="425"/>
        </w:trPr>
        <w:tc>
          <w:tcPr>
            <w:tcW w:w="625" w:type="dxa"/>
            <w:shd w:val="clear" w:color="auto" w:fill="auto"/>
            <w:vAlign w:val="center"/>
            <w:hideMark/>
          </w:tcPr>
          <w:p w14:paraId="40E37E44" w14:textId="77777777" w:rsidR="009119C3" w:rsidRPr="008412B8" w:rsidRDefault="009119C3" w:rsidP="008412B8">
            <w:pPr>
              <w:widowControl/>
              <w:spacing w:after="120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14:paraId="726FC633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8412B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通用服务器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138804" w14:textId="77777777" w:rsidR="009119C3" w:rsidRPr="008412B8" w:rsidRDefault="009119C3" w:rsidP="008412B8">
            <w:pPr>
              <w:widowControl/>
              <w:spacing w:after="120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1955D41A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CPU：英特尔4310(2.1GHz/12核)*2</w:t>
            </w:r>
          </w:p>
          <w:p w14:paraId="0CB6AA56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内存：</w:t>
            </w:r>
            <w:r w:rsidRPr="008412B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16GB*2</w:t>
            </w:r>
          </w:p>
          <w:p w14:paraId="56B16441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硬盘：</w:t>
            </w:r>
            <w:r w:rsidRPr="008412B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600GB SAS 10K*2</w:t>
            </w: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Pr="008412B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900GB  SAS 10K*2</w:t>
            </w:r>
          </w:p>
          <w:p w14:paraId="6E600899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网卡：4端口</w:t>
            </w:r>
            <w:proofErr w:type="gramStart"/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千兆电口</w:t>
            </w:r>
            <w:proofErr w:type="gramEnd"/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</w:p>
          <w:p w14:paraId="7536C080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RAID掉电保护，冗余电源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5083F67F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、服务器硬件五年7×24×4H</w:t>
            </w:r>
            <w:proofErr w:type="gramStart"/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维保服务</w:t>
            </w:r>
            <w:proofErr w:type="gramEnd"/>
          </w:p>
        </w:tc>
      </w:tr>
      <w:tr w:rsidR="009119C3" w:rsidRPr="008412B8" w14:paraId="6AE66D79" w14:textId="77777777" w:rsidTr="00BB3082">
        <w:trPr>
          <w:trHeight w:val="1605"/>
        </w:trPr>
        <w:tc>
          <w:tcPr>
            <w:tcW w:w="625" w:type="dxa"/>
            <w:shd w:val="clear" w:color="auto" w:fill="auto"/>
            <w:vAlign w:val="center"/>
            <w:hideMark/>
          </w:tcPr>
          <w:p w14:paraId="5D8FC0B3" w14:textId="77777777" w:rsidR="009119C3" w:rsidRPr="008412B8" w:rsidRDefault="009119C3" w:rsidP="008412B8">
            <w:pPr>
              <w:widowControl/>
              <w:spacing w:after="120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14:paraId="6EE0843E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F</w:t>
            </w:r>
            <w:r w:rsidRPr="008412B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TP</w:t>
            </w: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服务器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3E29F9" w14:textId="77777777" w:rsidR="009119C3" w:rsidRPr="008412B8" w:rsidRDefault="009119C3" w:rsidP="008412B8">
            <w:pPr>
              <w:widowControl/>
              <w:spacing w:after="120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09DCFB38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CPU：英特尔4310(2.1GHz/12核)*2</w:t>
            </w:r>
          </w:p>
          <w:p w14:paraId="7D9E4AF0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内存：</w:t>
            </w:r>
            <w:r w:rsidRPr="008412B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16GB*2</w:t>
            </w:r>
          </w:p>
          <w:p w14:paraId="3CADD0D9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硬盘：</w:t>
            </w:r>
            <w:r w:rsidRPr="008412B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600GB SAS 10K*2</w:t>
            </w: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Pr="008412B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900GB  SAS 10K*2</w:t>
            </w:r>
          </w:p>
          <w:p w14:paraId="7331F1D1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网卡：4端口</w:t>
            </w:r>
            <w:proofErr w:type="gramStart"/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千兆电口</w:t>
            </w:r>
            <w:proofErr w:type="gramEnd"/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Pr="008412B8">
              <w:rPr>
                <w:rFonts w:ascii="宋体" w:eastAsia="宋体" w:hAnsi="宋体" w:hint="eastAsia"/>
                <w:sz w:val="24"/>
                <w:szCs w:val="24"/>
              </w:rPr>
              <w:t>2</w:t>
            </w:r>
            <w:r w:rsidRPr="008412B8">
              <w:rPr>
                <w:rFonts w:ascii="宋体" w:eastAsia="宋体" w:hAnsi="宋体"/>
                <w:sz w:val="24"/>
                <w:szCs w:val="24"/>
              </w:rPr>
              <w:t>端口</w:t>
            </w:r>
            <w:r w:rsidRPr="008412B8">
              <w:rPr>
                <w:rFonts w:ascii="宋体" w:eastAsia="宋体" w:hAnsi="宋体" w:hint="eastAsia"/>
                <w:sz w:val="24"/>
                <w:szCs w:val="24"/>
              </w:rPr>
              <w:t>万兆光</w:t>
            </w:r>
            <w:r w:rsidRPr="008412B8">
              <w:rPr>
                <w:rFonts w:ascii="宋体" w:eastAsia="宋体" w:hAnsi="宋体"/>
                <w:sz w:val="24"/>
                <w:szCs w:val="24"/>
              </w:rPr>
              <w:t>口（含模块）</w:t>
            </w:r>
          </w:p>
          <w:p w14:paraId="5E16C8B9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RAID掉电保护，冗余电源</w:t>
            </w:r>
          </w:p>
        </w:tc>
        <w:tc>
          <w:tcPr>
            <w:tcW w:w="1701" w:type="dxa"/>
            <w:vMerge/>
            <w:vAlign w:val="center"/>
            <w:hideMark/>
          </w:tcPr>
          <w:p w14:paraId="2B1F4D55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119C3" w:rsidRPr="008412B8" w14:paraId="0A92E773" w14:textId="77777777" w:rsidTr="00BB3082">
        <w:trPr>
          <w:trHeight w:val="1605"/>
        </w:trPr>
        <w:tc>
          <w:tcPr>
            <w:tcW w:w="625" w:type="dxa"/>
            <w:shd w:val="clear" w:color="auto" w:fill="auto"/>
            <w:vAlign w:val="center"/>
            <w:hideMark/>
          </w:tcPr>
          <w:p w14:paraId="2502B29F" w14:textId="77777777" w:rsidR="009119C3" w:rsidRPr="008412B8" w:rsidRDefault="009119C3" w:rsidP="008412B8">
            <w:pPr>
              <w:widowControl/>
              <w:spacing w:after="120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14:paraId="738B3462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数据库服务器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657D67" w14:textId="77777777" w:rsidR="009119C3" w:rsidRPr="008412B8" w:rsidRDefault="009119C3" w:rsidP="008412B8">
            <w:pPr>
              <w:widowControl/>
              <w:spacing w:after="120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56889E2D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CPU：4314(2.4GHz/16核)*2</w:t>
            </w:r>
          </w:p>
          <w:p w14:paraId="5229024F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内存：</w:t>
            </w:r>
            <w:r w:rsidRPr="008412B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32GB*2</w:t>
            </w:r>
          </w:p>
          <w:p w14:paraId="0A4A6200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硬盘：</w:t>
            </w:r>
            <w:r w:rsidRPr="008412B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960GB  SSD*2</w:t>
            </w: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Pr="008412B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1.2TB  SAS 10K*2</w:t>
            </w:r>
          </w:p>
          <w:p w14:paraId="629E508C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网卡：4端口</w:t>
            </w:r>
            <w:proofErr w:type="gramStart"/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千兆电口</w:t>
            </w:r>
            <w:proofErr w:type="gramEnd"/>
          </w:p>
          <w:p w14:paraId="6E84EDB0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RAID掉电保护，冗余电源</w:t>
            </w:r>
          </w:p>
        </w:tc>
        <w:tc>
          <w:tcPr>
            <w:tcW w:w="1701" w:type="dxa"/>
            <w:vMerge/>
            <w:vAlign w:val="center"/>
            <w:hideMark/>
          </w:tcPr>
          <w:p w14:paraId="7C9F692D" w14:textId="77777777" w:rsidR="009119C3" w:rsidRPr="008412B8" w:rsidRDefault="009119C3" w:rsidP="008412B8">
            <w:pPr>
              <w:widowControl/>
              <w:spacing w:after="120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119C3" w:rsidRPr="008412B8" w14:paraId="0FCF89CB" w14:textId="77777777" w:rsidTr="00BB3082">
        <w:trPr>
          <w:trHeight w:val="461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40C5E33F" w14:textId="77777777" w:rsidR="009119C3" w:rsidRPr="008412B8" w:rsidRDefault="009119C3" w:rsidP="008412B8">
            <w:pPr>
              <w:widowControl/>
              <w:spacing w:after="120" w:line="36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总计</w:t>
            </w:r>
          </w:p>
        </w:tc>
        <w:tc>
          <w:tcPr>
            <w:tcW w:w="9072" w:type="dxa"/>
            <w:gridSpan w:val="3"/>
            <w:shd w:val="clear" w:color="auto" w:fill="auto"/>
            <w:noWrap/>
            <w:vAlign w:val="center"/>
          </w:tcPr>
          <w:p w14:paraId="02ABB1C5" w14:textId="77777777" w:rsidR="009119C3" w:rsidRPr="008412B8" w:rsidRDefault="009119C3" w:rsidP="008412B8">
            <w:pPr>
              <w:widowControl/>
              <w:spacing w:after="120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2B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</w:t>
            </w:r>
            <w:r w:rsidRPr="008412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台服务器</w:t>
            </w:r>
          </w:p>
        </w:tc>
      </w:tr>
    </w:tbl>
    <w:p w14:paraId="54244559" w14:textId="5364527E" w:rsidR="009119C3" w:rsidRPr="008412B8" w:rsidRDefault="008412B8" w:rsidP="008412B8">
      <w:pPr>
        <w:spacing w:line="360" w:lineRule="auto"/>
        <w:ind w:leftChars="-405" w:left="-850"/>
        <w:rPr>
          <w:rFonts w:ascii="宋体" w:eastAsia="宋体" w:hAnsi="宋体" w:cs="微软雅黑"/>
          <w:sz w:val="24"/>
          <w:szCs w:val="24"/>
        </w:rPr>
      </w:pPr>
      <w:r w:rsidRPr="008412B8">
        <w:rPr>
          <w:rFonts w:ascii="宋体" w:eastAsia="宋体" w:hAnsi="宋体" w:cs="微软雅黑" w:hint="eastAsia"/>
          <w:sz w:val="24"/>
          <w:szCs w:val="24"/>
        </w:rPr>
        <w:t>二、服务要求</w:t>
      </w:r>
    </w:p>
    <w:p w14:paraId="6CE0B541" w14:textId="03967095" w:rsidR="008412B8" w:rsidRPr="008412B8" w:rsidRDefault="008412B8" w:rsidP="008412B8">
      <w:pPr>
        <w:spacing w:line="360" w:lineRule="auto"/>
        <w:ind w:leftChars="-405" w:left="-850" w:firstLineChars="200" w:firstLine="480"/>
        <w:rPr>
          <w:rFonts w:ascii="宋体" w:eastAsia="宋体" w:hAnsi="宋体" w:cs="微软雅黑"/>
          <w:sz w:val="24"/>
          <w:szCs w:val="24"/>
        </w:rPr>
      </w:pPr>
      <w:r w:rsidRPr="008412B8">
        <w:rPr>
          <w:rFonts w:ascii="宋体" w:eastAsia="宋体" w:hAnsi="宋体" w:cs="微软雅黑"/>
          <w:sz w:val="24"/>
          <w:szCs w:val="24"/>
        </w:rPr>
        <w:t>维护期内对采购人的服务通知，中标人在接报后20分钟内响应，4小时内到达现场，48小时内处理完毕。若在48小时内仍未能有效解决，中标人立即启动临时应急措施，保障不影响采购人的工作正常开展。</w:t>
      </w:r>
    </w:p>
    <w:p w14:paraId="1A11D59E" w14:textId="77777777" w:rsidR="008412B8" w:rsidRPr="008412B8" w:rsidRDefault="008412B8" w:rsidP="008412B8">
      <w:pPr>
        <w:spacing w:line="360" w:lineRule="auto"/>
        <w:ind w:leftChars="-405" w:left="-850"/>
        <w:rPr>
          <w:rFonts w:ascii="宋体" w:eastAsia="宋体" w:hAnsi="宋体" w:cs="微软雅黑"/>
          <w:sz w:val="24"/>
          <w:szCs w:val="24"/>
        </w:rPr>
      </w:pPr>
      <w:r w:rsidRPr="008412B8">
        <w:rPr>
          <w:rFonts w:ascii="宋体" w:eastAsia="宋体" w:hAnsi="宋体" w:cs="微软雅黑" w:hint="eastAsia"/>
          <w:sz w:val="24"/>
          <w:szCs w:val="24"/>
        </w:rPr>
        <w:lastRenderedPageBreak/>
        <w:t>三、付款方式</w:t>
      </w:r>
    </w:p>
    <w:p w14:paraId="37024643" w14:textId="77777777" w:rsidR="008412B8" w:rsidRPr="008412B8" w:rsidRDefault="008412B8" w:rsidP="008412B8">
      <w:pPr>
        <w:spacing w:line="360" w:lineRule="auto"/>
        <w:ind w:leftChars="-405" w:left="-850"/>
        <w:rPr>
          <w:rFonts w:ascii="宋体" w:eastAsia="宋体" w:hAnsi="宋体" w:cs="微软雅黑"/>
          <w:sz w:val="24"/>
          <w:szCs w:val="24"/>
        </w:rPr>
      </w:pPr>
      <w:r w:rsidRPr="008412B8">
        <w:rPr>
          <w:rFonts w:ascii="宋体" w:eastAsia="宋体" w:hAnsi="宋体" w:hint="eastAsia"/>
          <w:sz w:val="24"/>
          <w:szCs w:val="24"/>
        </w:rPr>
        <w:t>合同款支付按如下方式支付：</w:t>
      </w:r>
    </w:p>
    <w:p w14:paraId="008DA054" w14:textId="2863D6E6" w:rsidR="008412B8" w:rsidRPr="008412B8" w:rsidRDefault="008412B8" w:rsidP="008412B8">
      <w:pPr>
        <w:spacing w:line="360" w:lineRule="auto"/>
        <w:ind w:leftChars="-405" w:left="-850" w:firstLineChars="200" w:firstLine="480"/>
        <w:rPr>
          <w:rFonts w:ascii="宋体" w:eastAsia="宋体" w:hAnsi="宋体" w:cs="微软雅黑"/>
          <w:sz w:val="24"/>
          <w:szCs w:val="24"/>
        </w:rPr>
      </w:pPr>
      <w:r w:rsidRPr="008412B8">
        <w:rPr>
          <w:rFonts w:ascii="宋体" w:eastAsia="宋体" w:hAnsi="宋体" w:hint="eastAsia"/>
          <w:sz w:val="24"/>
          <w:szCs w:val="24"/>
        </w:rPr>
        <w:t>1、合同签署生效后，采购人收到中标人开具等额正式发票后5个工作日内支付合同</w:t>
      </w:r>
      <w:r w:rsidR="00DA17FF">
        <w:rPr>
          <w:rFonts w:ascii="宋体" w:eastAsia="宋体" w:hAnsi="宋体" w:hint="eastAsia"/>
          <w:sz w:val="24"/>
          <w:szCs w:val="24"/>
        </w:rPr>
        <w:t>金额</w:t>
      </w:r>
      <w:r w:rsidRPr="008412B8">
        <w:rPr>
          <w:rFonts w:ascii="宋体" w:eastAsia="宋体" w:hAnsi="宋体" w:hint="eastAsia"/>
          <w:sz w:val="24"/>
          <w:szCs w:val="24"/>
        </w:rPr>
        <w:t>的</w:t>
      </w:r>
      <w:r w:rsidR="00DA17FF">
        <w:rPr>
          <w:rFonts w:ascii="宋体" w:eastAsia="宋体" w:hAnsi="宋体"/>
          <w:sz w:val="24"/>
          <w:szCs w:val="24"/>
        </w:rPr>
        <w:t>3</w:t>
      </w:r>
      <w:r w:rsidRPr="008412B8">
        <w:rPr>
          <w:rFonts w:ascii="宋体" w:eastAsia="宋体" w:hAnsi="宋体" w:hint="eastAsia"/>
          <w:sz w:val="24"/>
          <w:szCs w:val="24"/>
        </w:rPr>
        <w:t>0%给中标人。</w:t>
      </w:r>
    </w:p>
    <w:p w14:paraId="56E4F056" w14:textId="7B775B6A" w:rsidR="008412B8" w:rsidRPr="008412B8" w:rsidRDefault="008412B8" w:rsidP="008412B8">
      <w:pPr>
        <w:spacing w:line="360" w:lineRule="auto"/>
        <w:ind w:leftChars="-405" w:left="-850" w:firstLineChars="200" w:firstLine="480"/>
        <w:rPr>
          <w:rFonts w:ascii="宋体" w:eastAsia="宋体" w:hAnsi="宋体" w:cs="微软雅黑"/>
          <w:sz w:val="24"/>
          <w:szCs w:val="24"/>
        </w:rPr>
      </w:pPr>
      <w:r w:rsidRPr="008412B8">
        <w:rPr>
          <w:rFonts w:ascii="宋体" w:eastAsia="宋体" w:hAnsi="宋体" w:hint="eastAsia"/>
          <w:sz w:val="24"/>
          <w:szCs w:val="24"/>
        </w:rPr>
        <w:t>2、</w:t>
      </w:r>
      <w:r w:rsidR="00DA17FF">
        <w:rPr>
          <w:rFonts w:ascii="宋体" w:eastAsia="宋体" w:hAnsi="宋体" w:hint="eastAsia"/>
          <w:sz w:val="24"/>
          <w:szCs w:val="24"/>
        </w:rPr>
        <w:t>所有货物到达采购人指定地点并按照完毕后，</w:t>
      </w:r>
      <w:r w:rsidRPr="008412B8">
        <w:rPr>
          <w:rFonts w:ascii="宋体" w:eastAsia="宋体" w:hAnsi="宋体" w:hint="eastAsia"/>
          <w:sz w:val="24"/>
          <w:szCs w:val="24"/>
        </w:rPr>
        <w:t>采购人收到中标人开具等额正式发票及付款确认函后10个工作日内支付</w:t>
      </w:r>
      <w:r w:rsidR="00DA17FF">
        <w:rPr>
          <w:rFonts w:ascii="宋体" w:eastAsia="宋体" w:hAnsi="宋体" w:hint="eastAsia"/>
          <w:sz w:val="24"/>
          <w:szCs w:val="24"/>
        </w:rPr>
        <w:t>合同金额的5</w:t>
      </w:r>
      <w:r w:rsidR="00DA17FF">
        <w:rPr>
          <w:rFonts w:ascii="宋体" w:eastAsia="宋体" w:hAnsi="宋体"/>
          <w:sz w:val="24"/>
          <w:szCs w:val="24"/>
        </w:rPr>
        <w:t>0%</w:t>
      </w:r>
      <w:r w:rsidR="00DA17FF">
        <w:rPr>
          <w:rFonts w:ascii="宋体" w:eastAsia="宋体" w:hAnsi="宋体" w:hint="eastAsia"/>
          <w:sz w:val="24"/>
          <w:szCs w:val="24"/>
        </w:rPr>
        <w:t>给中标人</w:t>
      </w:r>
      <w:r w:rsidRPr="008412B8">
        <w:rPr>
          <w:rFonts w:ascii="宋体" w:eastAsia="宋体" w:hAnsi="宋体" w:hint="eastAsia"/>
          <w:sz w:val="24"/>
          <w:szCs w:val="24"/>
        </w:rPr>
        <w:t>。</w:t>
      </w:r>
    </w:p>
    <w:p w14:paraId="5BEB0BD3" w14:textId="7E5BAE3A" w:rsidR="008412B8" w:rsidRPr="008412B8" w:rsidRDefault="008412B8" w:rsidP="008412B8">
      <w:pPr>
        <w:spacing w:line="360" w:lineRule="auto"/>
        <w:ind w:leftChars="-405" w:left="-850" w:firstLineChars="200" w:firstLine="480"/>
        <w:rPr>
          <w:rFonts w:ascii="宋体" w:eastAsia="宋体" w:hAnsi="宋体" w:cs="微软雅黑"/>
          <w:sz w:val="24"/>
          <w:szCs w:val="24"/>
        </w:rPr>
      </w:pPr>
      <w:r w:rsidRPr="008412B8">
        <w:rPr>
          <w:rFonts w:ascii="宋体" w:eastAsia="宋体" w:hAnsi="宋体" w:hint="eastAsia"/>
          <w:sz w:val="24"/>
          <w:szCs w:val="24"/>
        </w:rPr>
        <w:t>3、中标人通过采购人验收后，采购人收到中标人开具等额正式发票及付款确认函后10个工作日内支付</w:t>
      </w:r>
      <w:r w:rsidR="00F716D3">
        <w:rPr>
          <w:rFonts w:ascii="宋体" w:eastAsia="宋体" w:hAnsi="宋体" w:hint="eastAsia"/>
          <w:sz w:val="24"/>
          <w:szCs w:val="24"/>
        </w:rPr>
        <w:t>合同金额的2</w:t>
      </w:r>
      <w:r w:rsidR="00F716D3">
        <w:rPr>
          <w:rFonts w:ascii="宋体" w:eastAsia="宋体" w:hAnsi="宋体"/>
          <w:sz w:val="24"/>
          <w:szCs w:val="24"/>
        </w:rPr>
        <w:t>0%</w:t>
      </w:r>
      <w:r w:rsidR="00F716D3">
        <w:rPr>
          <w:rFonts w:ascii="宋体" w:eastAsia="宋体" w:hAnsi="宋体" w:hint="eastAsia"/>
          <w:sz w:val="24"/>
          <w:szCs w:val="24"/>
        </w:rPr>
        <w:t>给中标人</w:t>
      </w:r>
      <w:r w:rsidRPr="008412B8">
        <w:rPr>
          <w:rFonts w:ascii="宋体" w:eastAsia="宋体" w:hAnsi="宋体" w:hint="eastAsia"/>
          <w:sz w:val="24"/>
          <w:szCs w:val="24"/>
        </w:rPr>
        <w:t>。</w:t>
      </w:r>
    </w:p>
    <w:p w14:paraId="592DD4C0" w14:textId="612C0020" w:rsidR="008412B8" w:rsidRPr="008412B8" w:rsidRDefault="00F716D3" w:rsidP="008412B8">
      <w:pPr>
        <w:spacing w:line="360" w:lineRule="auto"/>
        <w:ind w:leftChars="-405" w:left="-850" w:firstLineChars="200" w:firstLine="480"/>
        <w:rPr>
          <w:rFonts w:ascii="宋体" w:eastAsia="宋体" w:hAnsi="宋体" w:cs="微软雅黑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4</w:t>
      </w:r>
      <w:r w:rsidR="008412B8" w:rsidRPr="008412B8">
        <w:rPr>
          <w:rFonts w:ascii="宋体" w:eastAsia="宋体" w:hAnsi="宋体" w:hint="eastAsia"/>
          <w:sz w:val="24"/>
          <w:szCs w:val="24"/>
        </w:rPr>
        <w:t>、付款方式：银行汇付（含电汇）形式或银行承兑汇票形式。</w:t>
      </w:r>
    </w:p>
    <w:p w14:paraId="4E22DC5A" w14:textId="57357088" w:rsidR="008412B8" w:rsidRPr="008412B8" w:rsidRDefault="00F716D3" w:rsidP="008412B8">
      <w:pPr>
        <w:spacing w:line="360" w:lineRule="auto"/>
        <w:ind w:leftChars="-405" w:left="-850" w:firstLineChars="200" w:firstLine="480"/>
        <w:rPr>
          <w:rFonts w:ascii="宋体" w:eastAsia="宋体" w:hAnsi="宋体" w:cs="微软雅黑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 w:rsidR="008412B8" w:rsidRPr="008412B8">
        <w:rPr>
          <w:rFonts w:ascii="宋体" w:eastAsia="宋体" w:hAnsi="宋体" w:hint="eastAsia"/>
          <w:sz w:val="24"/>
          <w:szCs w:val="24"/>
        </w:rPr>
        <w:t>、中标人向采购人开具的发票为增值税专用发票。</w:t>
      </w:r>
    </w:p>
    <w:p w14:paraId="5ADD9A4F" w14:textId="2CDA4F59" w:rsidR="008412B8" w:rsidRPr="008412B8" w:rsidRDefault="008412B8" w:rsidP="008412B8">
      <w:pPr>
        <w:spacing w:line="360" w:lineRule="auto"/>
        <w:ind w:leftChars="-405" w:left="-850" w:firstLineChars="200" w:firstLine="480"/>
        <w:rPr>
          <w:rFonts w:ascii="宋体" w:eastAsia="宋体" w:hAnsi="宋体" w:cs="微软雅黑"/>
          <w:sz w:val="24"/>
          <w:szCs w:val="24"/>
        </w:rPr>
      </w:pPr>
      <w:r w:rsidRPr="008412B8">
        <w:rPr>
          <w:rFonts w:ascii="宋体" w:eastAsia="宋体" w:hAnsi="宋体" w:hint="eastAsia"/>
          <w:sz w:val="24"/>
          <w:szCs w:val="24"/>
        </w:rPr>
        <w:t>因投标人的响应报价增值税税率报</w:t>
      </w:r>
      <w:proofErr w:type="gramStart"/>
      <w:r w:rsidRPr="008412B8">
        <w:rPr>
          <w:rFonts w:ascii="宋体" w:eastAsia="宋体" w:hAnsi="宋体" w:hint="eastAsia"/>
          <w:sz w:val="24"/>
          <w:szCs w:val="24"/>
        </w:rPr>
        <w:t>错导致</w:t>
      </w:r>
      <w:proofErr w:type="gramEnd"/>
      <w:r w:rsidRPr="008412B8">
        <w:rPr>
          <w:rFonts w:ascii="宋体" w:eastAsia="宋体" w:hAnsi="宋体" w:hint="eastAsia"/>
          <w:sz w:val="24"/>
          <w:szCs w:val="24"/>
        </w:rPr>
        <w:t>合同含税金额或不含税金额出现错误，经评标委员会复核得出正确税率并计算出合同价格，若评标委员会复核后的合同价格高于投标人的错误报价，则取两者中相对低的价格作为合同价格计算。</w:t>
      </w:r>
    </w:p>
    <w:p w14:paraId="4676FD34" w14:textId="77777777" w:rsidR="008412B8" w:rsidRPr="008412B8" w:rsidRDefault="008412B8" w:rsidP="008412B8">
      <w:pPr>
        <w:ind w:leftChars="-405" w:left="-850" w:firstLineChars="200" w:firstLine="600"/>
        <w:rPr>
          <w:rFonts w:ascii="仿宋" w:eastAsia="仿宋" w:hAnsi="仿宋" w:cs="微软雅黑"/>
          <w:sz w:val="30"/>
          <w:szCs w:val="30"/>
        </w:rPr>
      </w:pPr>
    </w:p>
    <w:sectPr w:rsidR="008412B8" w:rsidRPr="008412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60A89" w14:textId="77777777" w:rsidR="00AA0A82" w:rsidRDefault="00AA0A82" w:rsidP="009119C3">
      <w:r>
        <w:separator/>
      </w:r>
    </w:p>
  </w:endnote>
  <w:endnote w:type="continuationSeparator" w:id="0">
    <w:p w14:paraId="1F277A07" w14:textId="77777777" w:rsidR="00AA0A82" w:rsidRDefault="00AA0A82" w:rsidP="00911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206D7" w14:textId="77777777" w:rsidR="00AA0A82" w:rsidRDefault="00AA0A82" w:rsidP="009119C3">
      <w:r>
        <w:separator/>
      </w:r>
    </w:p>
  </w:footnote>
  <w:footnote w:type="continuationSeparator" w:id="0">
    <w:p w14:paraId="5A528EE3" w14:textId="77777777" w:rsidR="00AA0A82" w:rsidRDefault="00AA0A82" w:rsidP="009119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11C"/>
    <w:rsid w:val="00255072"/>
    <w:rsid w:val="0056311C"/>
    <w:rsid w:val="008412B8"/>
    <w:rsid w:val="00844381"/>
    <w:rsid w:val="009119C3"/>
    <w:rsid w:val="00AA0A82"/>
    <w:rsid w:val="00DA17FF"/>
    <w:rsid w:val="00E84B42"/>
    <w:rsid w:val="00F7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47FE7A"/>
  <w15:chartTrackingRefBased/>
  <w15:docId w15:val="{C65E53CE-274D-4E95-98CE-B986F0AC5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19C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19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19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19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a037514</dc:creator>
  <cp:keywords/>
  <dc:description/>
  <cp:lastModifiedBy>永连招标刘工</cp:lastModifiedBy>
  <cp:revision>5</cp:revision>
  <dcterms:created xsi:type="dcterms:W3CDTF">2023-07-11T07:18:00Z</dcterms:created>
  <dcterms:modified xsi:type="dcterms:W3CDTF">2023-07-11T07:41:00Z</dcterms:modified>
</cp:coreProperties>
</file>