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pacing w:val="4"/>
          <w:sz w:val="28"/>
          <w:szCs w:val="28"/>
        </w:rPr>
      </w:pPr>
      <w:r>
        <w:rPr>
          <w:b/>
          <w:bCs/>
          <w:spacing w:val="4"/>
          <w:sz w:val="28"/>
          <w:szCs w:val="28"/>
        </w:rPr>
        <w:t>2022年IPTV平台卫星信号系统维保采购项目</w:t>
      </w:r>
      <w:r>
        <w:rPr>
          <w:rFonts w:hint="eastAsia"/>
          <w:b/>
          <w:bCs/>
          <w:spacing w:val="4"/>
          <w:sz w:val="28"/>
          <w:szCs w:val="28"/>
        </w:rPr>
        <w:t>采购需求</w:t>
      </w:r>
    </w:p>
    <w:p>
      <w:pPr>
        <w:rPr>
          <w:rFonts w:cstheme="minorBidi"/>
        </w:rPr>
      </w:pPr>
      <w:bookmarkStart w:id="0" w:name="_Toc114156836"/>
      <w:bookmarkStart w:id="1" w:name="_Toc408387834"/>
      <w:r>
        <w:rPr>
          <w:rFonts w:hint="eastAsia"/>
        </w:rPr>
        <w:t>一、项目概述</w:t>
      </w:r>
      <w:bookmarkEnd w:id="0"/>
      <w:bookmarkEnd w:id="1"/>
    </w:p>
    <w:p>
      <w:pPr>
        <w:ind w:firstLine="570"/>
        <w:rPr>
          <w:rFonts w:cs="仿宋_GB2312"/>
          <w:sz w:val="21"/>
          <w:szCs w:val="21"/>
          <w:lang w:eastAsia="zh-Hans"/>
        </w:rPr>
      </w:pPr>
      <w:r>
        <w:rPr>
          <w:rFonts w:hint="eastAsia"/>
          <w:sz w:val="21"/>
          <w:szCs w:val="21"/>
        </w:rPr>
        <w:t>本项目</w:t>
      </w:r>
      <w:r>
        <w:rPr>
          <w:rFonts w:hint="eastAsia"/>
          <w:sz w:val="21"/>
          <w:szCs w:val="21"/>
          <w:lang w:eastAsia="zh-Hans"/>
        </w:rPr>
        <w:t>拟对如下在用卫星系统相关</w:t>
      </w:r>
      <w:r>
        <w:rPr>
          <w:rFonts w:hint="default"/>
          <w:sz w:val="21"/>
          <w:szCs w:val="21"/>
          <w:lang w:eastAsia="zh-Hans"/>
        </w:rPr>
        <w:t>6</w:t>
      </w:r>
      <w:r>
        <w:rPr>
          <w:rFonts w:hint="eastAsia"/>
          <w:sz w:val="21"/>
          <w:szCs w:val="21"/>
          <w:lang w:val="en-US" w:eastAsia="zh-Hans"/>
        </w:rPr>
        <w:t>个</w:t>
      </w:r>
      <w:r>
        <w:rPr>
          <w:rFonts w:hint="eastAsia"/>
          <w:sz w:val="21"/>
          <w:szCs w:val="21"/>
          <w:lang w:eastAsia="zh-Hans"/>
        </w:rPr>
        <w:t>项目</w:t>
      </w:r>
      <w:r>
        <w:rPr>
          <w:rFonts w:hint="eastAsia"/>
          <w:sz w:val="21"/>
          <w:szCs w:val="21"/>
          <w:lang w:val="en-US" w:eastAsia="zh-Hans"/>
        </w:rPr>
        <w:t>合同的标的设备</w:t>
      </w:r>
      <w:r>
        <w:rPr>
          <w:rFonts w:hint="eastAsia"/>
          <w:sz w:val="21"/>
          <w:szCs w:val="21"/>
          <w:lang w:eastAsia="zh-Hans"/>
        </w:rPr>
        <w:t>进行维保采购，为确保卫星信号的接收及转码正常，建议续保至2025年12月31日，原合同信息如下：</w:t>
      </w:r>
      <w:r>
        <w:rPr>
          <w:rFonts w:hint="eastAsia" w:cs="仿宋_GB2312"/>
          <w:sz w:val="21"/>
          <w:szCs w:val="21"/>
        </w:rPr>
        <w:t>；</w:t>
      </w:r>
    </w:p>
    <w:p>
      <w:pPr>
        <w:numPr>
          <w:numId w:val="0"/>
        </w:numPr>
        <w:autoSpaceDE/>
        <w:autoSpaceDN/>
        <w:ind w:firstLine="420" w:firstLineChars="200"/>
        <w:jc w:val="both"/>
        <w:rPr>
          <w:rFonts w:hint="eastAsia" w:cs="仿宋_GB2312"/>
          <w:b/>
          <w:bCs/>
          <w:sz w:val="21"/>
          <w:szCs w:val="21"/>
          <w:lang w:eastAsia="zh-Hans"/>
        </w:rPr>
      </w:pPr>
      <w:r>
        <w:rPr>
          <w:rFonts w:hint="eastAsia" w:cs="仿宋_GB2312"/>
          <w:b/>
          <w:bCs/>
          <w:sz w:val="21"/>
          <w:szCs w:val="21"/>
          <w:lang w:eastAsia="zh-Hans"/>
        </w:rPr>
        <w:t>本维保项目主要是针对卫星接收机以及转码器设备，如报价单位非设备制造商，则报价函除了加盖报价单位的公章以外，还需要加盖卫星接收机以及转码器设备制造商的公章。</w:t>
      </w:r>
      <w:bookmarkStart w:id="2" w:name="_Toc114156837"/>
    </w:p>
    <w:p>
      <w:pPr>
        <w:numPr>
          <w:numId w:val="0"/>
        </w:numPr>
        <w:autoSpaceDE/>
        <w:autoSpaceDN/>
        <w:ind w:firstLine="440" w:firstLineChars="200"/>
        <w:jc w:val="both"/>
        <w:rPr>
          <w:rFonts w:hint="eastAsia"/>
        </w:rPr>
      </w:pPr>
    </w:p>
    <w:p>
      <w:pPr>
        <w:numPr>
          <w:numId w:val="0"/>
        </w:numPr>
        <w:autoSpaceDE/>
        <w:autoSpaceDN/>
        <w:jc w:val="both"/>
        <w:rPr>
          <w:rFonts w:hint="default" w:eastAsia="宋体" w:cstheme="minorBidi"/>
          <w:lang w:val="en-US" w:eastAsia="zh-Hans"/>
        </w:rPr>
      </w:pPr>
      <w:bookmarkStart w:id="9" w:name="_GoBack"/>
      <w:bookmarkEnd w:id="9"/>
      <w:r>
        <w:rPr>
          <w:rFonts w:hint="eastAsia"/>
        </w:rPr>
        <w:t>二、</w:t>
      </w:r>
      <w:bookmarkEnd w:id="2"/>
      <w:r>
        <w:rPr>
          <w:rFonts w:hint="eastAsia"/>
          <w:lang w:val="en-US" w:eastAsia="zh-Hans"/>
        </w:rPr>
        <w:t>合同清单</w:t>
      </w:r>
    </w:p>
    <w:p>
      <w:bookmarkStart w:id="3" w:name="_Toc114156838"/>
      <w:r>
        <w:rPr>
          <w:rFonts w:hint="eastAsia"/>
        </w:rPr>
        <w:t>2.1 合同列表及维保/续保期</w:t>
      </w:r>
      <w:bookmarkEnd w:id="3"/>
    </w:p>
    <w:tbl>
      <w:tblPr>
        <w:tblStyle w:val="20"/>
        <w:tblW w:w="892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038"/>
        <w:gridCol w:w="2045"/>
        <w:gridCol w:w="1910"/>
        <w:gridCol w:w="1506"/>
      </w:tblGrid>
      <w:tr>
        <w:tc>
          <w:tcPr>
            <w:tcW w:w="426"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bookmarkStart w:id="4" w:name="_Toc114156839"/>
            <w:r>
              <w:rPr>
                <w:rFonts w:hint="eastAsia" w:cstheme="minorEastAsia"/>
                <w:sz w:val="21"/>
                <w:szCs w:val="21"/>
              </w:rPr>
              <w:t>序号</w:t>
            </w:r>
          </w:p>
        </w:tc>
        <w:tc>
          <w:tcPr>
            <w:tcW w:w="3038"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项目名称</w:t>
            </w:r>
          </w:p>
        </w:tc>
        <w:tc>
          <w:tcPr>
            <w:tcW w:w="2045"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维保/质保到期日期</w:t>
            </w:r>
          </w:p>
        </w:tc>
        <w:tc>
          <w:tcPr>
            <w:tcW w:w="1910"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需签维保日期</w:t>
            </w:r>
          </w:p>
        </w:tc>
        <w:tc>
          <w:tcPr>
            <w:tcW w:w="1506"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维保时间</w:t>
            </w:r>
          </w:p>
        </w:tc>
      </w:tr>
      <w:tr>
        <w:tc>
          <w:tcPr>
            <w:tcW w:w="426"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1</w:t>
            </w:r>
          </w:p>
        </w:tc>
        <w:tc>
          <w:tcPr>
            <w:tcW w:w="3038"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南方新媒体IPTV集成播控平台卫星信号备份系统维保项目</w:t>
            </w:r>
          </w:p>
        </w:tc>
        <w:tc>
          <w:tcPr>
            <w:tcW w:w="2045"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2022年12月31日</w:t>
            </w:r>
          </w:p>
        </w:tc>
        <w:tc>
          <w:tcPr>
            <w:tcW w:w="1910"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2025年12月31日</w:t>
            </w:r>
          </w:p>
        </w:tc>
        <w:tc>
          <w:tcPr>
            <w:tcW w:w="1506"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3年</w:t>
            </w:r>
          </w:p>
        </w:tc>
      </w:tr>
      <w:tr>
        <w:tc>
          <w:tcPr>
            <w:tcW w:w="426"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w:t>
            </w:r>
          </w:p>
        </w:tc>
        <w:tc>
          <w:tcPr>
            <w:tcW w:w="3038"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南方新媒体卫星信号后端系统扩容采购项目</w:t>
            </w:r>
          </w:p>
        </w:tc>
        <w:tc>
          <w:tcPr>
            <w:tcW w:w="2045"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2022年12月31日</w:t>
            </w:r>
          </w:p>
        </w:tc>
        <w:tc>
          <w:tcPr>
            <w:tcW w:w="1910"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2025年12月31日</w:t>
            </w:r>
          </w:p>
        </w:tc>
        <w:tc>
          <w:tcPr>
            <w:tcW w:w="1506"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3</w:t>
            </w:r>
          </w:p>
        </w:tc>
        <w:tc>
          <w:tcPr>
            <w:tcW w:w="3038"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南方新媒体IPTV平台卫星信号转码设备扩容采购项目</w:t>
            </w:r>
          </w:p>
        </w:tc>
        <w:tc>
          <w:tcPr>
            <w:tcW w:w="2045"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2022年12月31日</w:t>
            </w:r>
          </w:p>
        </w:tc>
        <w:tc>
          <w:tcPr>
            <w:tcW w:w="1910"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2025年12月31日</w:t>
            </w:r>
          </w:p>
        </w:tc>
        <w:tc>
          <w:tcPr>
            <w:tcW w:w="1506"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3年</w:t>
            </w:r>
          </w:p>
        </w:tc>
      </w:tr>
      <w:tr>
        <w:tc>
          <w:tcPr>
            <w:tcW w:w="426"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4</w:t>
            </w:r>
          </w:p>
        </w:tc>
        <w:tc>
          <w:tcPr>
            <w:tcW w:w="3038"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IPTV集成播控平台信源接收及安全监测系统</w:t>
            </w:r>
          </w:p>
        </w:tc>
        <w:tc>
          <w:tcPr>
            <w:tcW w:w="2045"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2022年12月31日</w:t>
            </w:r>
          </w:p>
        </w:tc>
        <w:tc>
          <w:tcPr>
            <w:tcW w:w="1910"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2025年12月31日</w:t>
            </w:r>
          </w:p>
        </w:tc>
        <w:tc>
          <w:tcPr>
            <w:tcW w:w="1506"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5</w:t>
            </w:r>
          </w:p>
        </w:tc>
        <w:tc>
          <w:tcPr>
            <w:tcW w:w="3038"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南方广播影视传媒集团IPTV集成播控平台信源接收及安全监测系统扩容采购项目</w:t>
            </w:r>
          </w:p>
        </w:tc>
        <w:tc>
          <w:tcPr>
            <w:tcW w:w="2045"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2022年12月31日</w:t>
            </w:r>
          </w:p>
        </w:tc>
        <w:tc>
          <w:tcPr>
            <w:tcW w:w="1910"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2025年12月31日</w:t>
            </w:r>
          </w:p>
        </w:tc>
        <w:tc>
          <w:tcPr>
            <w:tcW w:w="1506"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3年</w:t>
            </w:r>
          </w:p>
        </w:tc>
      </w:tr>
      <w:tr>
        <w:tc>
          <w:tcPr>
            <w:tcW w:w="426"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6</w:t>
            </w:r>
          </w:p>
        </w:tc>
        <w:tc>
          <w:tcPr>
            <w:tcW w:w="3038"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广东IPTV卫星信号源接收转码与监测扩容采购项目</w:t>
            </w:r>
          </w:p>
        </w:tc>
        <w:tc>
          <w:tcPr>
            <w:tcW w:w="2045"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2022年12月31日</w:t>
            </w:r>
          </w:p>
        </w:tc>
        <w:tc>
          <w:tcPr>
            <w:tcW w:w="1910"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2025年12月31日</w:t>
            </w:r>
          </w:p>
        </w:tc>
        <w:tc>
          <w:tcPr>
            <w:tcW w:w="1506" w:type="dxa"/>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3年</w:t>
            </w:r>
          </w:p>
        </w:tc>
      </w:tr>
    </w:tbl>
    <w:p>
      <w:pPr>
        <w:rPr>
          <w:rFonts w:cstheme="majorBidi"/>
          <w:kern w:val="2"/>
        </w:rPr>
      </w:pPr>
      <w:r>
        <w:rPr>
          <w:rFonts w:hint="eastAsia"/>
        </w:rPr>
        <w:t>2.2 合同设备清单</w:t>
      </w:r>
      <w:bookmarkEnd w:id="4"/>
    </w:p>
    <w:p>
      <w:pPr>
        <w:pStyle w:val="42"/>
        <w:rPr>
          <w:rFonts w:ascii="宋体" w:hAnsi="宋体"/>
        </w:rPr>
      </w:pPr>
      <w:r>
        <w:rPr>
          <w:rFonts w:hint="eastAsia" w:ascii="宋体" w:hAnsi="宋体"/>
        </w:rPr>
        <w:t>【1】F201409083-南方新媒体IPTV集成播控平台卫星信号备份系统采购项目合同</w:t>
      </w:r>
    </w:p>
    <w:p>
      <w:pPr>
        <w:pStyle w:val="42"/>
        <w:rPr>
          <w:rFonts w:ascii="宋体" w:hAnsi="宋体"/>
        </w:rPr>
      </w:pPr>
      <w:r>
        <w:rPr>
          <w:rFonts w:hint="eastAsia" w:ascii="宋体" w:hAnsi="宋体"/>
        </w:rPr>
        <w:t>本合同标的的货物均在使用，拟计划续保至2025年12月31日。</w:t>
      </w:r>
    </w:p>
    <w:tbl>
      <w:tblPr>
        <w:tblStyle w:val="19"/>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702"/>
        <w:gridCol w:w="5264"/>
        <w:gridCol w:w="1135"/>
        <w:gridCol w:w="835"/>
      </w:tblGrid>
      <w:tr>
        <w:trPr>
          <w:cantSplit/>
          <w:trHeight w:val="397" w:hRule="atLeast"/>
          <w:tblHeader/>
          <w:jc w:val="center"/>
        </w:trPr>
        <w:tc>
          <w:tcPr>
            <w:tcW w:w="664" w:type="dxa"/>
            <w:tcBorders>
              <w:top w:val="single" w:color="auto" w:sz="4" w:space="0"/>
              <w:left w:val="single" w:color="auto" w:sz="4" w:space="0"/>
              <w:bottom w:val="single" w:color="auto" w:sz="4" w:space="0"/>
              <w:right w:val="single" w:color="auto" w:sz="4" w:space="0"/>
            </w:tcBorders>
            <w:vAlign w:val="center"/>
          </w:tcPr>
          <w:p>
            <w:pPr>
              <w:jc w:val="center"/>
              <w:rPr>
                <w:b/>
                <w:sz w:val="21"/>
                <w:szCs w:val="21"/>
              </w:rPr>
            </w:pPr>
            <w:r>
              <w:rPr>
                <w:rFonts w:hint="eastAsia"/>
                <w:b/>
                <w:sz w:val="21"/>
                <w:szCs w:val="21"/>
              </w:rPr>
              <w:t>序号</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b/>
                <w:sz w:val="21"/>
                <w:szCs w:val="21"/>
              </w:rPr>
            </w:pPr>
            <w:r>
              <w:rPr>
                <w:rFonts w:hint="eastAsia"/>
                <w:b/>
                <w:sz w:val="21"/>
                <w:szCs w:val="21"/>
              </w:rPr>
              <w:t>分项名称</w:t>
            </w:r>
          </w:p>
        </w:tc>
        <w:tc>
          <w:tcPr>
            <w:tcW w:w="5261" w:type="dxa"/>
            <w:tcBorders>
              <w:top w:val="single" w:color="auto" w:sz="4" w:space="0"/>
              <w:left w:val="single" w:color="auto" w:sz="4" w:space="0"/>
              <w:bottom w:val="single" w:color="auto" w:sz="4" w:space="0"/>
              <w:right w:val="single" w:color="auto" w:sz="4" w:space="0"/>
            </w:tcBorders>
            <w:vAlign w:val="center"/>
          </w:tcPr>
          <w:p>
            <w:pPr>
              <w:jc w:val="center"/>
              <w:rPr>
                <w:rFonts w:cs="Calibri"/>
                <w:sz w:val="21"/>
                <w:szCs w:val="21"/>
              </w:rPr>
            </w:pPr>
            <w:r>
              <w:rPr>
                <w:rFonts w:hint="eastAsia"/>
                <w:b/>
                <w:sz w:val="21"/>
                <w:szCs w:val="21"/>
              </w:rPr>
              <w:t>品牌、规格型号、主要技术参数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
                <w:sz w:val="21"/>
                <w:szCs w:val="21"/>
              </w:rPr>
            </w:pPr>
            <w:r>
              <w:rPr>
                <w:rFonts w:hint="eastAsia"/>
                <w:b/>
                <w:sz w:val="21"/>
                <w:szCs w:val="21"/>
              </w:rPr>
              <w:t>制造商</w:t>
            </w:r>
          </w:p>
        </w:tc>
        <w:tc>
          <w:tcPr>
            <w:tcW w:w="835" w:type="dxa"/>
            <w:tcBorders>
              <w:top w:val="single" w:color="auto" w:sz="4" w:space="0"/>
              <w:left w:val="single" w:color="auto" w:sz="4" w:space="0"/>
              <w:bottom w:val="single" w:color="auto" w:sz="4" w:space="0"/>
              <w:right w:val="single" w:color="auto" w:sz="4" w:space="0"/>
            </w:tcBorders>
            <w:vAlign w:val="center"/>
          </w:tcPr>
          <w:p>
            <w:pPr>
              <w:jc w:val="center"/>
              <w:rPr>
                <w:b/>
                <w:sz w:val="21"/>
                <w:szCs w:val="21"/>
              </w:rPr>
            </w:pPr>
            <w:r>
              <w:rPr>
                <w:rFonts w:hint="eastAsia"/>
                <w:b/>
                <w:sz w:val="21"/>
                <w:szCs w:val="21"/>
              </w:rPr>
              <w:t>数量</w:t>
            </w:r>
          </w:p>
        </w:tc>
      </w:tr>
      <w:tr>
        <w:trPr>
          <w:cantSplit/>
          <w:trHeight w:val="397" w:hRule="atLeast"/>
          <w:jc w:val="center"/>
        </w:trPr>
        <w:tc>
          <w:tcPr>
            <w:tcW w:w="664" w:type="dxa"/>
            <w:vMerge w:val="restart"/>
            <w:tcBorders>
              <w:top w:val="nil"/>
              <w:left w:val="single" w:color="auto" w:sz="4" w:space="0"/>
              <w:bottom w:val="single" w:color="auto" w:sz="4" w:space="0"/>
              <w:right w:val="single" w:color="auto" w:sz="4" w:space="0"/>
            </w:tcBorders>
            <w:vAlign w:val="center"/>
          </w:tcPr>
          <w:p>
            <w:pPr>
              <w:rPr>
                <w:sz w:val="21"/>
                <w:szCs w:val="21"/>
              </w:rPr>
            </w:pPr>
            <w:r>
              <w:rPr>
                <w:rFonts w:hint="eastAsia"/>
                <w:sz w:val="21"/>
                <w:szCs w:val="21"/>
              </w:rPr>
              <w:t>1</w:t>
            </w:r>
          </w:p>
        </w:tc>
        <w:tc>
          <w:tcPr>
            <w:tcW w:w="1701" w:type="dxa"/>
            <w:vMerge w:val="restart"/>
            <w:tcBorders>
              <w:top w:val="nil"/>
              <w:left w:val="single" w:color="auto" w:sz="4" w:space="0"/>
              <w:bottom w:val="single" w:color="auto" w:sz="4" w:space="0"/>
              <w:right w:val="single" w:color="auto" w:sz="4" w:space="0"/>
            </w:tcBorders>
          </w:tcPr>
          <w:p>
            <w:pPr>
              <w:spacing w:line="280" w:lineRule="exact"/>
              <w:rPr>
                <w:sz w:val="21"/>
                <w:szCs w:val="21"/>
              </w:rPr>
            </w:pPr>
          </w:p>
          <w:p>
            <w:pPr>
              <w:spacing w:line="280" w:lineRule="exact"/>
              <w:rPr>
                <w:sz w:val="21"/>
                <w:szCs w:val="21"/>
              </w:rPr>
            </w:pPr>
            <w:r>
              <w:rPr>
                <w:rFonts w:hint="eastAsia"/>
                <w:sz w:val="21"/>
                <w:szCs w:val="21"/>
              </w:rPr>
              <w:t>卫星天线改造系统</w:t>
            </w:r>
          </w:p>
        </w:tc>
        <w:tc>
          <w:tcPr>
            <w:tcW w:w="5261" w:type="dxa"/>
            <w:tcBorders>
              <w:top w:val="single" w:color="auto" w:sz="4" w:space="0"/>
              <w:left w:val="single" w:color="auto" w:sz="4" w:space="0"/>
              <w:bottom w:val="single" w:color="auto" w:sz="4" w:space="0"/>
              <w:right w:val="single" w:color="auto" w:sz="4" w:space="0"/>
            </w:tcBorders>
          </w:tcPr>
          <w:p>
            <w:pPr>
              <w:pStyle w:val="41"/>
              <w:spacing w:line="280" w:lineRule="exact"/>
              <w:rPr>
                <w:rFonts w:cs="Calibri"/>
                <w:color w:val="auto"/>
                <w:sz w:val="21"/>
                <w:szCs w:val="21"/>
              </w:rPr>
            </w:pPr>
            <w:r>
              <w:rPr>
                <w:rFonts w:hint="eastAsia" w:cs="Calibri"/>
                <w:color w:val="auto"/>
                <w:sz w:val="21"/>
                <w:szCs w:val="21"/>
              </w:rPr>
              <w:t>500米-9同轴（6根线）走线到机房：楼面用</w:t>
            </w:r>
            <w:r>
              <w:rPr>
                <w:rFonts w:hint="eastAsia" w:cs="Times New Roman"/>
                <w:color w:val="auto"/>
                <w:sz w:val="21"/>
                <w:szCs w:val="21"/>
              </w:rPr>
              <w:t>60×100×1.0（mm）不锈钢线槽</w:t>
            </w:r>
            <w:r>
              <w:rPr>
                <w:rFonts w:hint="eastAsia" w:cs="Calibri"/>
                <w:color w:val="auto"/>
                <w:sz w:val="21"/>
                <w:szCs w:val="21"/>
              </w:rPr>
              <w:t>、屋内走线槽，</w:t>
            </w:r>
            <w:r>
              <w:rPr>
                <w:rFonts w:hint="eastAsia" w:cs="Times New Roman"/>
                <w:color w:val="auto"/>
                <w:sz w:val="21"/>
                <w:szCs w:val="21"/>
              </w:rPr>
              <w:t xml:space="preserve">从电台13楼总控室敷设一条24芯光缆到集团楼17楼机房，含24芯ODF架， </w:t>
            </w:r>
            <w:r>
              <w:rPr>
                <w:rFonts w:hint="eastAsia" w:cs="Calibri"/>
                <w:color w:val="auto"/>
                <w:sz w:val="21"/>
                <w:szCs w:val="21"/>
              </w:rPr>
              <w:t>（含材料和施工费用）</w:t>
            </w:r>
          </w:p>
        </w:tc>
        <w:tc>
          <w:tcPr>
            <w:tcW w:w="1134" w:type="dxa"/>
            <w:tcBorders>
              <w:top w:val="single" w:color="auto" w:sz="4" w:space="0"/>
              <w:left w:val="single" w:color="auto" w:sz="4" w:space="0"/>
              <w:bottom w:val="single" w:color="auto" w:sz="4" w:space="0"/>
              <w:right w:val="single" w:color="auto" w:sz="4" w:space="0"/>
            </w:tcBorders>
          </w:tcPr>
          <w:p>
            <w:pPr>
              <w:spacing w:line="280" w:lineRule="exact"/>
              <w:rPr>
                <w:rFonts w:cs="Calibri"/>
                <w:sz w:val="21"/>
                <w:szCs w:val="21"/>
              </w:rPr>
            </w:pPr>
          </w:p>
          <w:p>
            <w:pPr>
              <w:spacing w:line="280" w:lineRule="exact"/>
              <w:rPr>
                <w:rFonts w:cs="Times New Roman"/>
                <w:kern w:val="2"/>
                <w:sz w:val="21"/>
                <w:szCs w:val="21"/>
              </w:rPr>
            </w:pPr>
            <w:r>
              <w:rPr>
                <w:rFonts w:hint="eastAsia" w:cs="Calibri"/>
                <w:sz w:val="21"/>
                <w:szCs w:val="21"/>
              </w:rPr>
              <w:t>同轴电缆“通达”</w:t>
            </w:r>
          </w:p>
        </w:tc>
        <w:tc>
          <w:tcPr>
            <w:tcW w:w="835" w:type="dxa"/>
            <w:tcBorders>
              <w:top w:val="single" w:color="auto" w:sz="4" w:space="0"/>
              <w:left w:val="single" w:color="auto" w:sz="4" w:space="0"/>
              <w:bottom w:val="single" w:color="auto" w:sz="4" w:space="0"/>
              <w:right w:val="single" w:color="auto" w:sz="4" w:space="0"/>
            </w:tcBorders>
          </w:tcPr>
          <w:p>
            <w:pPr>
              <w:spacing w:line="280" w:lineRule="exact"/>
              <w:rPr>
                <w:sz w:val="21"/>
                <w:szCs w:val="21"/>
              </w:rPr>
            </w:pPr>
          </w:p>
          <w:p>
            <w:pPr>
              <w:spacing w:line="280" w:lineRule="exact"/>
              <w:rPr>
                <w:sz w:val="21"/>
                <w:szCs w:val="21"/>
              </w:rPr>
            </w:pPr>
          </w:p>
          <w:p>
            <w:pPr>
              <w:spacing w:line="280" w:lineRule="exact"/>
              <w:rPr>
                <w:sz w:val="21"/>
                <w:szCs w:val="21"/>
              </w:rPr>
            </w:pPr>
            <w:r>
              <w:rPr>
                <w:rFonts w:hint="eastAsia"/>
                <w:sz w:val="21"/>
                <w:szCs w:val="21"/>
              </w:rPr>
              <w:t>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57" w:hRule="atLeast"/>
          <w:jc w:val="center"/>
        </w:trPr>
        <w:tc>
          <w:tcPr>
            <w:tcW w:w="664"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5261" w:type="dxa"/>
            <w:tcBorders>
              <w:top w:val="single" w:color="auto" w:sz="4" w:space="0"/>
              <w:left w:val="single" w:color="auto" w:sz="4" w:space="0"/>
              <w:bottom w:val="single" w:color="auto" w:sz="4" w:space="0"/>
              <w:right w:val="single" w:color="auto" w:sz="4" w:space="0"/>
            </w:tcBorders>
          </w:tcPr>
          <w:p>
            <w:pPr>
              <w:pStyle w:val="41"/>
              <w:spacing w:line="280" w:lineRule="exact"/>
              <w:rPr>
                <w:rFonts w:cs="Calibri"/>
                <w:color w:val="auto"/>
                <w:sz w:val="21"/>
                <w:szCs w:val="21"/>
              </w:rPr>
            </w:pPr>
            <w:r>
              <w:rPr>
                <w:rFonts w:hint="eastAsia" w:cs="Calibri"/>
                <w:color w:val="auto"/>
                <w:sz w:val="21"/>
                <w:szCs w:val="21"/>
              </w:rPr>
              <w:t>4.5米C波段天线馈源系统</w:t>
            </w:r>
          </w:p>
        </w:tc>
        <w:tc>
          <w:tcPr>
            <w:tcW w:w="1134" w:type="dxa"/>
            <w:tcBorders>
              <w:top w:val="single" w:color="auto" w:sz="4" w:space="0"/>
              <w:left w:val="single" w:color="auto" w:sz="4" w:space="0"/>
              <w:bottom w:val="single" w:color="auto" w:sz="4" w:space="0"/>
              <w:right w:val="single" w:color="auto" w:sz="4" w:space="0"/>
            </w:tcBorders>
          </w:tcPr>
          <w:p>
            <w:pPr>
              <w:spacing w:line="280" w:lineRule="exact"/>
              <w:rPr>
                <w:rFonts w:cs="Times New Roman"/>
                <w:sz w:val="21"/>
                <w:szCs w:val="21"/>
              </w:rPr>
            </w:pPr>
            <w:r>
              <w:rPr>
                <w:rFonts w:hint="eastAsia"/>
                <w:sz w:val="21"/>
                <w:szCs w:val="21"/>
              </w:rPr>
              <w:t>振华</w:t>
            </w:r>
          </w:p>
        </w:tc>
        <w:tc>
          <w:tcPr>
            <w:tcW w:w="835" w:type="dxa"/>
            <w:tcBorders>
              <w:top w:val="single" w:color="auto" w:sz="4" w:space="0"/>
              <w:left w:val="single" w:color="auto" w:sz="4" w:space="0"/>
              <w:bottom w:val="single" w:color="auto" w:sz="4" w:space="0"/>
              <w:right w:val="single" w:color="auto" w:sz="4" w:space="0"/>
            </w:tcBorders>
          </w:tcPr>
          <w:p>
            <w:pPr>
              <w:spacing w:line="280" w:lineRule="exact"/>
              <w:rPr>
                <w:sz w:val="21"/>
                <w:szCs w:val="21"/>
              </w:rPr>
            </w:pPr>
            <w:r>
              <w:rPr>
                <w:rFonts w:hint="eastAsia"/>
                <w:sz w:val="21"/>
                <w:szCs w:val="21"/>
              </w:rPr>
              <w:t>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664"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52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rPr>
                <w:rFonts w:cs="Calibri"/>
                <w:sz w:val="21"/>
                <w:szCs w:val="21"/>
              </w:rPr>
            </w:pPr>
            <w:r>
              <w:rPr>
                <w:rFonts w:hint="eastAsia" w:cs="Calibri"/>
                <w:sz w:val="21"/>
                <w:szCs w:val="21"/>
              </w:rPr>
              <w:t xml:space="preserve">C波段双功器       </w:t>
            </w:r>
          </w:p>
        </w:tc>
        <w:tc>
          <w:tcPr>
            <w:tcW w:w="1134" w:type="dxa"/>
            <w:tcBorders>
              <w:top w:val="single" w:color="auto" w:sz="4" w:space="0"/>
              <w:left w:val="single" w:color="auto" w:sz="4" w:space="0"/>
              <w:bottom w:val="single" w:color="auto" w:sz="4" w:space="0"/>
              <w:right w:val="single" w:color="auto" w:sz="4" w:space="0"/>
            </w:tcBorders>
          </w:tcPr>
          <w:p>
            <w:pPr>
              <w:spacing w:line="280" w:lineRule="exact"/>
              <w:rPr>
                <w:rFonts w:cs="Times New Roman"/>
                <w:sz w:val="21"/>
                <w:szCs w:val="21"/>
              </w:rPr>
            </w:pPr>
            <w:r>
              <w:rPr>
                <w:rFonts w:hint="eastAsia"/>
                <w:sz w:val="21"/>
                <w:szCs w:val="21"/>
              </w:rPr>
              <w:t>振华</w:t>
            </w:r>
          </w:p>
        </w:tc>
        <w:tc>
          <w:tcPr>
            <w:tcW w:w="835" w:type="dxa"/>
            <w:tcBorders>
              <w:top w:val="single" w:color="auto" w:sz="4" w:space="0"/>
              <w:left w:val="single" w:color="auto" w:sz="4" w:space="0"/>
              <w:bottom w:val="single" w:color="auto" w:sz="4" w:space="0"/>
              <w:right w:val="single" w:color="auto" w:sz="4" w:space="0"/>
            </w:tcBorders>
          </w:tcPr>
          <w:p>
            <w:pPr>
              <w:spacing w:line="280" w:lineRule="exact"/>
              <w:rPr>
                <w:sz w:val="21"/>
                <w:szCs w:val="21"/>
              </w:rPr>
            </w:pPr>
            <w:r>
              <w:rPr>
                <w:rFonts w:hint="eastAsia"/>
                <w:sz w:val="21"/>
                <w:szCs w:val="21"/>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664"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52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rPr>
                <w:rFonts w:cs="Calibri"/>
                <w:sz w:val="21"/>
                <w:szCs w:val="21"/>
              </w:rPr>
            </w:pPr>
            <w:r>
              <w:rPr>
                <w:rFonts w:hint="eastAsia"/>
                <w:sz w:val="21"/>
                <w:szCs w:val="21"/>
              </w:rPr>
              <w:t>无源功分器</w:t>
            </w:r>
          </w:p>
        </w:tc>
        <w:tc>
          <w:tcPr>
            <w:tcW w:w="1134" w:type="dxa"/>
            <w:tcBorders>
              <w:top w:val="single" w:color="auto" w:sz="4" w:space="0"/>
              <w:left w:val="single" w:color="auto" w:sz="4" w:space="0"/>
              <w:bottom w:val="single" w:color="auto" w:sz="4" w:space="0"/>
              <w:right w:val="single" w:color="auto" w:sz="4" w:space="0"/>
            </w:tcBorders>
          </w:tcPr>
          <w:p>
            <w:pPr>
              <w:spacing w:line="280" w:lineRule="exact"/>
              <w:rPr>
                <w:rFonts w:cs="Times New Roman"/>
                <w:sz w:val="21"/>
                <w:szCs w:val="21"/>
              </w:rPr>
            </w:pPr>
            <w:r>
              <w:rPr>
                <w:rFonts w:hint="eastAsia"/>
                <w:sz w:val="21"/>
                <w:szCs w:val="21"/>
              </w:rPr>
              <w:t>格劳保</w:t>
            </w:r>
          </w:p>
        </w:tc>
        <w:tc>
          <w:tcPr>
            <w:tcW w:w="835" w:type="dxa"/>
            <w:tcBorders>
              <w:top w:val="single" w:color="auto" w:sz="4" w:space="0"/>
              <w:left w:val="single" w:color="auto" w:sz="4" w:space="0"/>
              <w:bottom w:val="single" w:color="auto" w:sz="4" w:space="0"/>
              <w:right w:val="single" w:color="auto" w:sz="4" w:space="0"/>
            </w:tcBorders>
          </w:tcPr>
          <w:p>
            <w:pPr>
              <w:spacing w:line="280" w:lineRule="exact"/>
              <w:rPr>
                <w:sz w:val="21"/>
                <w:szCs w:val="21"/>
              </w:rPr>
            </w:pPr>
            <w:r>
              <w:rPr>
                <w:rFonts w:hint="eastAsia"/>
                <w:sz w:val="21"/>
                <w:szCs w:val="21"/>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664"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52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rPr>
                <w:sz w:val="21"/>
                <w:szCs w:val="21"/>
              </w:rPr>
            </w:pPr>
            <w:r>
              <w:rPr>
                <w:rFonts w:hint="eastAsia"/>
                <w:sz w:val="21"/>
                <w:szCs w:val="21"/>
              </w:rPr>
              <w:t>洛赛特</w:t>
            </w:r>
            <w:r>
              <w:rPr>
                <w:rFonts w:hint="eastAsia" w:cs="Calibri"/>
                <w:sz w:val="21"/>
                <w:szCs w:val="21"/>
              </w:rPr>
              <w:t>C</w:t>
            </w:r>
            <w:r>
              <w:rPr>
                <w:rFonts w:hint="eastAsia"/>
                <w:sz w:val="21"/>
                <w:szCs w:val="21"/>
              </w:rPr>
              <w:t>波段</w:t>
            </w:r>
            <w:r>
              <w:rPr>
                <w:rFonts w:hint="eastAsia" w:cs="Calibri"/>
                <w:sz w:val="21"/>
                <w:szCs w:val="21"/>
              </w:rPr>
              <w:t>8215</w:t>
            </w:r>
            <w:r>
              <w:rPr>
                <w:rFonts w:hint="eastAsia"/>
                <w:sz w:val="21"/>
                <w:szCs w:val="21"/>
              </w:rPr>
              <w:t>高频头</w:t>
            </w:r>
          </w:p>
        </w:tc>
        <w:tc>
          <w:tcPr>
            <w:tcW w:w="1134" w:type="dxa"/>
            <w:tcBorders>
              <w:top w:val="single" w:color="auto" w:sz="4" w:space="0"/>
              <w:left w:val="single" w:color="auto" w:sz="4" w:space="0"/>
              <w:bottom w:val="single" w:color="auto" w:sz="4" w:space="0"/>
              <w:right w:val="single" w:color="auto" w:sz="4" w:space="0"/>
            </w:tcBorders>
          </w:tcPr>
          <w:p>
            <w:pPr>
              <w:spacing w:line="280" w:lineRule="exact"/>
              <w:rPr>
                <w:sz w:val="21"/>
                <w:szCs w:val="21"/>
              </w:rPr>
            </w:pPr>
            <w:r>
              <w:rPr>
                <w:rFonts w:hint="eastAsia"/>
                <w:sz w:val="21"/>
                <w:szCs w:val="21"/>
              </w:rPr>
              <w:t>振华</w:t>
            </w:r>
          </w:p>
        </w:tc>
        <w:tc>
          <w:tcPr>
            <w:tcW w:w="835" w:type="dxa"/>
            <w:tcBorders>
              <w:top w:val="single" w:color="auto" w:sz="4" w:space="0"/>
              <w:left w:val="single" w:color="auto" w:sz="4" w:space="0"/>
              <w:bottom w:val="single" w:color="auto" w:sz="4" w:space="0"/>
              <w:right w:val="single" w:color="auto" w:sz="4" w:space="0"/>
            </w:tcBorders>
          </w:tcPr>
          <w:p>
            <w:pPr>
              <w:spacing w:line="280" w:lineRule="exact"/>
              <w:rPr>
                <w:sz w:val="21"/>
                <w:szCs w:val="21"/>
              </w:rPr>
            </w:pPr>
            <w:r>
              <w:rPr>
                <w:rFonts w:hint="eastAsia"/>
                <w:sz w:val="21"/>
                <w:szCs w:val="21"/>
              </w:rPr>
              <w:t>5只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664"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52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rPr>
                <w:rFonts w:cs="Calibri"/>
                <w:sz w:val="21"/>
                <w:szCs w:val="21"/>
              </w:rPr>
            </w:pPr>
            <w:r>
              <w:rPr>
                <w:rFonts w:hint="eastAsia" w:cs="Calibri"/>
                <w:sz w:val="21"/>
                <w:szCs w:val="21"/>
              </w:rPr>
              <w:t xml:space="preserve">4.5米3米天线拆缷\搬运\安装 ,3台4.5米天线调试             </w:t>
            </w:r>
          </w:p>
        </w:tc>
        <w:tc>
          <w:tcPr>
            <w:tcW w:w="1134" w:type="dxa"/>
            <w:tcBorders>
              <w:top w:val="single" w:color="auto" w:sz="4" w:space="0"/>
              <w:left w:val="single" w:color="auto" w:sz="4" w:space="0"/>
              <w:bottom w:val="single" w:color="auto" w:sz="4" w:space="0"/>
              <w:right w:val="single" w:color="auto" w:sz="4" w:space="0"/>
            </w:tcBorders>
          </w:tcPr>
          <w:p>
            <w:pPr>
              <w:spacing w:line="280" w:lineRule="exact"/>
              <w:rPr>
                <w:rFonts w:cs="Times New Roman"/>
                <w:sz w:val="21"/>
                <w:szCs w:val="21"/>
              </w:rPr>
            </w:pPr>
            <w:r>
              <w:rPr>
                <w:rFonts w:hint="eastAsia"/>
                <w:sz w:val="21"/>
                <w:szCs w:val="21"/>
              </w:rPr>
              <w:t>振华</w:t>
            </w:r>
          </w:p>
        </w:tc>
        <w:tc>
          <w:tcPr>
            <w:tcW w:w="835" w:type="dxa"/>
            <w:tcBorders>
              <w:top w:val="single" w:color="auto" w:sz="4" w:space="0"/>
              <w:left w:val="single" w:color="auto" w:sz="4" w:space="0"/>
              <w:bottom w:val="single" w:color="auto" w:sz="4" w:space="0"/>
              <w:right w:val="single" w:color="auto" w:sz="4" w:space="0"/>
            </w:tcBorders>
          </w:tcPr>
          <w:p>
            <w:pPr>
              <w:spacing w:line="280" w:lineRule="exact"/>
              <w:rPr>
                <w:sz w:val="21"/>
                <w:szCs w:val="21"/>
              </w:rPr>
            </w:pPr>
            <w:r>
              <w:rPr>
                <w:rFonts w:hint="eastAsia"/>
                <w:sz w:val="21"/>
                <w:szCs w:val="21"/>
              </w:rPr>
              <w:t>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664"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52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rPr>
                <w:sz w:val="21"/>
                <w:szCs w:val="21"/>
              </w:rPr>
            </w:pPr>
            <w:r>
              <w:rPr>
                <w:rFonts w:hint="eastAsia"/>
                <w:sz w:val="21"/>
                <w:szCs w:val="21"/>
              </w:rPr>
              <w:t>全部天线除锈\喷漆4台4.5米2台3米合297平方米</w:t>
            </w:r>
          </w:p>
        </w:tc>
        <w:tc>
          <w:tcPr>
            <w:tcW w:w="1134" w:type="dxa"/>
            <w:tcBorders>
              <w:top w:val="single" w:color="auto" w:sz="4" w:space="0"/>
              <w:left w:val="single" w:color="auto" w:sz="4" w:space="0"/>
              <w:bottom w:val="single" w:color="auto" w:sz="4" w:space="0"/>
              <w:right w:val="single" w:color="auto" w:sz="4" w:space="0"/>
            </w:tcBorders>
          </w:tcPr>
          <w:p>
            <w:pPr>
              <w:spacing w:line="280" w:lineRule="exact"/>
              <w:rPr>
                <w:sz w:val="21"/>
                <w:szCs w:val="21"/>
              </w:rPr>
            </w:pPr>
            <w:r>
              <w:rPr>
                <w:rFonts w:hint="eastAsia"/>
                <w:sz w:val="21"/>
                <w:szCs w:val="21"/>
              </w:rPr>
              <w:t>振华</w:t>
            </w:r>
          </w:p>
        </w:tc>
        <w:tc>
          <w:tcPr>
            <w:tcW w:w="835" w:type="dxa"/>
            <w:tcBorders>
              <w:top w:val="single" w:color="auto" w:sz="4" w:space="0"/>
              <w:left w:val="single" w:color="auto" w:sz="4" w:space="0"/>
              <w:bottom w:val="single" w:color="auto" w:sz="4" w:space="0"/>
              <w:right w:val="single" w:color="auto" w:sz="4" w:space="0"/>
            </w:tcBorders>
          </w:tcPr>
          <w:p>
            <w:pPr>
              <w:spacing w:line="280" w:lineRule="exact"/>
              <w:rPr>
                <w:sz w:val="21"/>
                <w:szCs w:val="21"/>
              </w:rPr>
            </w:pPr>
            <w:r>
              <w:rPr>
                <w:rFonts w:hint="eastAsia"/>
                <w:sz w:val="21"/>
                <w:szCs w:val="21"/>
              </w:rPr>
              <w:t>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1" w:hRule="atLeast"/>
          <w:jc w:val="center"/>
        </w:trPr>
        <w:tc>
          <w:tcPr>
            <w:tcW w:w="664" w:type="dxa"/>
            <w:vMerge w:val="restart"/>
            <w:tcBorders>
              <w:top w:val="nil"/>
              <w:left w:val="single" w:color="auto" w:sz="4" w:space="0"/>
              <w:bottom w:val="single" w:color="auto" w:sz="4" w:space="0"/>
              <w:right w:val="single" w:color="auto" w:sz="4" w:space="0"/>
            </w:tcBorders>
            <w:vAlign w:val="center"/>
          </w:tcPr>
          <w:p>
            <w:pPr>
              <w:rPr>
                <w:sz w:val="21"/>
                <w:szCs w:val="21"/>
              </w:rPr>
            </w:pPr>
            <w:r>
              <w:rPr>
                <w:rFonts w:hint="eastAsia"/>
                <w:sz w:val="21"/>
                <w:szCs w:val="21"/>
              </w:rPr>
              <w:t>2</w:t>
            </w:r>
          </w:p>
        </w:tc>
        <w:tc>
          <w:tcPr>
            <w:tcW w:w="1701" w:type="dxa"/>
            <w:vMerge w:val="restart"/>
            <w:tcBorders>
              <w:top w:val="nil"/>
              <w:left w:val="single" w:color="auto" w:sz="4" w:space="0"/>
              <w:bottom w:val="single" w:color="auto" w:sz="4" w:space="0"/>
              <w:right w:val="single" w:color="auto" w:sz="4" w:space="0"/>
            </w:tcBorders>
          </w:tcPr>
          <w:p>
            <w:pPr>
              <w:spacing w:line="280" w:lineRule="exact"/>
              <w:rPr>
                <w:sz w:val="21"/>
                <w:szCs w:val="21"/>
              </w:rPr>
            </w:pPr>
            <w:r>
              <w:rPr>
                <w:rFonts w:hint="eastAsia"/>
                <w:sz w:val="21"/>
                <w:szCs w:val="21"/>
              </w:rPr>
              <w:t>中频信号远距离传输系统</w:t>
            </w:r>
          </w:p>
        </w:tc>
        <w:tc>
          <w:tcPr>
            <w:tcW w:w="5261" w:type="dxa"/>
            <w:tcBorders>
              <w:top w:val="single" w:color="auto" w:sz="4" w:space="0"/>
              <w:left w:val="single" w:color="auto" w:sz="4" w:space="0"/>
              <w:bottom w:val="single" w:color="auto" w:sz="4" w:space="0"/>
              <w:right w:val="single" w:color="auto" w:sz="4" w:space="0"/>
            </w:tcBorders>
          </w:tcPr>
          <w:p>
            <w:pPr>
              <w:pStyle w:val="41"/>
              <w:spacing w:line="280" w:lineRule="exact"/>
              <w:rPr>
                <w:rFonts w:cs="Times New Roman"/>
                <w:color w:val="auto"/>
                <w:sz w:val="21"/>
                <w:szCs w:val="21"/>
              </w:rPr>
            </w:pPr>
            <w:r>
              <w:rPr>
                <w:rFonts w:hint="eastAsia" w:cs="Times New Roman"/>
                <w:color w:val="auto"/>
                <w:sz w:val="21"/>
                <w:szCs w:val="21"/>
              </w:rPr>
              <w:t>中频光端机</w:t>
            </w:r>
          </w:p>
        </w:tc>
        <w:tc>
          <w:tcPr>
            <w:tcW w:w="1134" w:type="dxa"/>
            <w:tcBorders>
              <w:top w:val="single" w:color="auto" w:sz="4" w:space="0"/>
              <w:left w:val="single" w:color="auto" w:sz="4" w:space="0"/>
              <w:bottom w:val="single" w:color="auto" w:sz="4" w:space="0"/>
              <w:right w:val="single" w:color="auto" w:sz="4" w:space="0"/>
            </w:tcBorders>
          </w:tcPr>
          <w:p>
            <w:pPr>
              <w:spacing w:line="280" w:lineRule="exact"/>
              <w:rPr>
                <w:rFonts w:cs="Times New Roman"/>
                <w:sz w:val="21"/>
                <w:szCs w:val="21"/>
              </w:rPr>
            </w:pPr>
            <w:r>
              <w:rPr>
                <w:sz w:val="21"/>
                <w:szCs w:val="21"/>
              </w:rPr>
              <w:t>Foxcom</w:t>
            </w:r>
          </w:p>
        </w:tc>
        <w:tc>
          <w:tcPr>
            <w:tcW w:w="835" w:type="dxa"/>
            <w:tcBorders>
              <w:top w:val="single" w:color="auto" w:sz="4" w:space="0"/>
              <w:left w:val="single" w:color="auto" w:sz="4" w:space="0"/>
              <w:bottom w:val="single" w:color="auto" w:sz="4" w:space="0"/>
              <w:right w:val="single" w:color="auto" w:sz="4" w:space="0"/>
            </w:tcBorders>
          </w:tcPr>
          <w:p>
            <w:pPr>
              <w:spacing w:line="280" w:lineRule="exact"/>
              <w:rPr>
                <w:sz w:val="21"/>
                <w:szCs w:val="21"/>
              </w:rPr>
            </w:pPr>
            <w:r>
              <w:rPr>
                <w:rFonts w:hint="eastAsia"/>
                <w:sz w:val="21"/>
                <w:szCs w:val="21"/>
              </w:rPr>
              <w:t>4对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67" w:hRule="atLeast"/>
          <w:jc w:val="center"/>
        </w:trPr>
        <w:tc>
          <w:tcPr>
            <w:tcW w:w="664"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5261" w:type="dxa"/>
            <w:tcBorders>
              <w:top w:val="single" w:color="auto" w:sz="4" w:space="0"/>
              <w:left w:val="single" w:color="auto" w:sz="4" w:space="0"/>
              <w:bottom w:val="single" w:color="auto" w:sz="4" w:space="0"/>
              <w:right w:val="single" w:color="auto" w:sz="4" w:space="0"/>
            </w:tcBorders>
          </w:tcPr>
          <w:p>
            <w:pPr>
              <w:spacing w:line="280" w:lineRule="exact"/>
              <w:rPr>
                <w:bCs/>
                <w:sz w:val="21"/>
                <w:szCs w:val="21"/>
              </w:rPr>
            </w:pPr>
            <w:r>
              <w:rPr>
                <w:rFonts w:hint="eastAsia"/>
                <w:sz w:val="21"/>
                <w:szCs w:val="21"/>
              </w:rPr>
              <w:t>粗波复用</w:t>
            </w:r>
            <w:r>
              <w:rPr>
                <w:sz w:val="21"/>
                <w:szCs w:val="21"/>
              </w:rPr>
              <w:t>/</w:t>
            </w:r>
            <w:r>
              <w:rPr>
                <w:rFonts w:hint="eastAsia"/>
                <w:sz w:val="21"/>
                <w:szCs w:val="21"/>
              </w:rPr>
              <w:t>解复用器</w:t>
            </w:r>
          </w:p>
        </w:tc>
        <w:tc>
          <w:tcPr>
            <w:tcW w:w="1134" w:type="dxa"/>
            <w:tcBorders>
              <w:top w:val="single" w:color="auto" w:sz="4" w:space="0"/>
              <w:left w:val="single" w:color="auto" w:sz="4" w:space="0"/>
              <w:bottom w:val="single" w:color="auto" w:sz="4" w:space="0"/>
              <w:right w:val="single" w:color="auto" w:sz="4" w:space="0"/>
            </w:tcBorders>
          </w:tcPr>
          <w:p>
            <w:pPr>
              <w:spacing w:line="280" w:lineRule="exact"/>
              <w:rPr>
                <w:bCs/>
                <w:sz w:val="21"/>
                <w:szCs w:val="21"/>
              </w:rPr>
            </w:pPr>
            <w:r>
              <w:rPr>
                <w:sz w:val="21"/>
                <w:szCs w:val="21"/>
              </w:rPr>
              <w:t>Foxcom</w:t>
            </w:r>
          </w:p>
        </w:tc>
        <w:tc>
          <w:tcPr>
            <w:tcW w:w="835" w:type="dxa"/>
            <w:tcBorders>
              <w:top w:val="single" w:color="auto" w:sz="4" w:space="0"/>
              <w:left w:val="single" w:color="auto" w:sz="4" w:space="0"/>
              <w:bottom w:val="single" w:color="auto" w:sz="4" w:space="0"/>
              <w:right w:val="single" w:color="auto" w:sz="4" w:space="0"/>
            </w:tcBorders>
          </w:tcPr>
          <w:p>
            <w:pPr>
              <w:spacing w:line="280" w:lineRule="exact"/>
              <w:rPr>
                <w:bCs/>
                <w:sz w:val="21"/>
                <w:szCs w:val="21"/>
              </w:rPr>
            </w:pPr>
            <w:r>
              <w:rPr>
                <w:rFonts w:hint="eastAsia"/>
                <w:sz w:val="21"/>
                <w:szCs w:val="21"/>
              </w:rPr>
              <w:t>1对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71" w:hRule="atLeast"/>
          <w:jc w:val="center"/>
        </w:trPr>
        <w:tc>
          <w:tcPr>
            <w:tcW w:w="664"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5261" w:type="dxa"/>
            <w:tcBorders>
              <w:top w:val="single" w:color="auto" w:sz="4" w:space="0"/>
              <w:left w:val="single" w:color="auto" w:sz="4" w:space="0"/>
              <w:bottom w:val="single" w:color="auto" w:sz="4" w:space="0"/>
              <w:right w:val="single" w:color="auto" w:sz="4" w:space="0"/>
            </w:tcBorders>
          </w:tcPr>
          <w:p>
            <w:pPr>
              <w:spacing w:line="280" w:lineRule="exact"/>
              <w:rPr>
                <w:bCs/>
                <w:sz w:val="21"/>
                <w:szCs w:val="21"/>
              </w:rPr>
            </w:pPr>
            <w:r>
              <w:rPr>
                <w:rFonts w:hint="eastAsia"/>
                <w:sz w:val="21"/>
                <w:szCs w:val="21"/>
              </w:rPr>
              <w:t>机箱</w:t>
            </w:r>
          </w:p>
        </w:tc>
        <w:tc>
          <w:tcPr>
            <w:tcW w:w="1134" w:type="dxa"/>
            <w:tcBorders>
              <w:top w:val="single" w:color="auto" w:sz="4" w:space="0"/>
              <w:left w:val="single" w:color="auto" w:sz="4" w:space="0"/>
              <w:bottom w:val="single" w:color="auto" w:sz="4" w:space="0"/>
              <w:right w:val="single" w:color="auto" w:sz="4" w:space="0"/>
            </w:tcBorders>
          </w:tcPr>
          <w:p>
            <w:pPr>
              <w:spacing w:line="280" w:lineRule="exact"/>
              <w:rPr>
                <w:bCs/>
                <w:sz w:val="21"/>
                <w:szCs w:val="21"/>
              </w:rPr>
            </w:pPr>
            <w:r>
              <w:rPr>
                <w:sz w:val="21"/>
                <w:szCs w:val="21"/>
              </w:rPr>
              <w:t>Foxcom</w:t>
            </w:r>
          </w:p>
        </w:tc>
        <w:tc>
          <w:tcPr>
            <w:tcW w:w="835" w:type="dxa"/>
            <w:tcBorders>
              <w:top w:val="single" w:color="auto" w:sz="4" w:space="0"/>
              <w:left w:val="single" w:color="auto" w:sz="4" w:space="0"/>
              <w:bottom w:val="single" w:color="auto" w:sz="4" w:space="0"/>
              <w:right w:val="single" w:color="auto" w:sz="4" w:space="0"/>
            </w:tcBorders>
          </w:tcPr>
          <w:p>
            <w:pPr>
              <w:spacing w:line="280" w:lineRule="exact"/>
              <w:rPr>
                <w:bCs/>
                <w:sz w:val="21"/>
                <w:szCs w:val="21"/>
              </w:rPr>
            </w:pPr>
            <w:r>
              <w:rPr>
                <w:rFonts w:hint="eastAsia"/>
                <w:sz w:val="21"/>
                <w:szCs w:val="21"/>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75"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3</w:t>
            </w:r>
          </w:p>
        </w:tc>
        <w:tc>
          <w:tcPr>
            <w:tcW w:w="1701" w:type="dxa"/>
            <w:tcBorders>
              <w:top w:val="single" w:color="auto" w:sz="4" w:space="0"/>
              <w:left w:val="single" w:color="auto" w:sz="4" w:space="0"/>
              <w:bottom w:val="single" w:color="auto" w:sz="4" w:space="0"/>
              <w:right w:val="single" w:color="auto" w:sz="4" w:space="0"/>
            </w:tcBorders>
          </w:tcPr>
          <w:p>
            <w:pPr>
              <w:spacing w:line="280" w:lineRule="exact"/>
              <w:rPr>
                <w:sz w:val="21"/>
                <w:szCs w:val="21"/>
              </w:rPr>
            </w:pPr>
            <w:r>
              <w:rPr>
                <w:rFonts w:hint="eastAsia"/>
                <w:sz w:val="21"/>
                <w:szCs w:val="21"/>
              </w:rPr>
              <w:t>主备路卫星信号切换系统</w:t>
            </w:r>
          </w:p>
        </w:tc>
        <w:tc>
          <w:tcPr>
            <w:tcW w:w="5261" w:type="dxa"/>
            <w:tcBorders>
              <w:top w:val="single" w:color="auto" w:sz="4" w:space="0"/>
              <w:left w:val="single" w:color="auto" w:sz="4" w:space="0"/>
              <w:bottom w:val="single" w:color="auto" w:sz="4" w:space="0"/>
              <w:right w:val="single" w:color="auto" w:sz="4" w:space="0"/>
            </w:tcBorders>
          </w:tcPr>
          <w:p>
            <w:pPr>
              <w:pStyle w:val="41"/>
              <w:spacing w:line="280" w:lineRule="exact"/>
              <w:rPr>
                <w:rFonts w:cs="Times New Roman"/>
                <w:color w:val="auto"/>
                <w:sz w:val="21"/>
                <w:szCs w:val="21"/>
              </w:rPr>
            </w:pPr>
            <w:r>
              <w:rPr>
                <w:rFonts w:hint="eastAsia" w:cs="Times New Roman"/>
                <w:color w:val="auto"/>
                <w:sz w:val="21"/>
                <w:szCs w:val="21"/>
              </w:rPr>
              <w:t>2组2选1切换器</w:t>
            </w:r>
          </w:p>
        </w:tc>
        <w:tc>
          <w:tcPr>
            <w:tcW w:w="1134" w:type="dxa"/>
            <w:tcBorders>
              <w:top w:val="single" w:color="auto" w:sz="4" w:space="0"/>
              <w:left w:val="single" w:color="auto" w:sz="4" w:space="0"/>
              <w:bottom w:val="single" w:color="auto" w:sz="4" w:space="0"/>
              <w:right w:val="single" w:color="auto" w:sz="4" w:space="0"/>
            </w:tcBorders>
          </w:tcPr>
          <w:p>
            <w:pPr>
              <w:spacing w:line="280" w:lineRule="exact"/>
              <w:rPr>
                <w:rFonts w:cs="Times New Roman"/>
                <w:sz w:val="21"/>
                <w:szCs w:val="21"/>
              </w:rPr>
            </w:pPr>
            <w:r>
              <w:rPr>
                <w:rFonts w:hint="eastAsia"/>
                <w:sz w:val="21"/>
                <w:szCs w:val="21"/>
              </w:rPr>
              <w:t>美国昆泰</w:t>
            </w:r>
          </w:p>
        </w:tc>
        <w:tc>
          <w:tcPr>
            <w:tcW w:w="835" w:type="dxa"/>
            <w:tcBorders>
              <w:top w:val="single" w:color="auto" w:sz="4" w:space="0"/>
              <w:left w:val="single" w:color="auto" w:sz="4" w:space="0"/>
              <w:bottom w:val="single" w:color="auto" w:sz="4" w:space="0"/>
              <w:right w:val="single" w:color="auto" w:sz="4" w:space="0"/>
            </w:tcBorders>
          </w:tcPr>
          <w:p>
            <w:pPr>
              <w:spacing w:line="280" w:lineRule="exact"/>
              <w:rPr>
                <w:sz w:val="21"/>
                <w:szCs w:val="21"/>
              </w:rPr>
            </w:pPr>
            <w:r>
              <w:rPr>
                <w:rFonts w:hint="eastAsia"/>
                <w:sz w:val="21"/>
                <w:szCs w:val="21"/>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664" w:type="dxa"/>
            <w:vMerge w:val="restart"/>
            <w:tcBorders>
              <w:top w:val="nil"/>
              <w:left w:val="single" w:color="auto" w:sz="4" w:space="0"/>
              <w:bottom w:val="single" w:color="auto" w:sz="4" w:space="0"/>
              <w:right w:val="single" w:color="auto" w:sz="4" w:space="0"/>
            </w:tcBorders>
            <w:vAlign w:val="center"/>
          </w:tcPr>
          <w:p>
            <w:pPr>
              <w:rPr>
                <w:sz w:val="21"/>
                <w:szCs w:val="21"/>
              </w:rPr>
            </w:pPr>
            <w:r>
              <w:rPr>
                <w:rFonts w:hint="eastAsia"/>
                <w:sz w:val="21"/>
                <w:szCs w:val="21"/>
              </w:rPr>
              <w:t>4</w:t>
            </w:r>
          </w:p>
        </w:tc>
        <w:tc>
          <w:tcPr>
            <w:tcW w:w="1701" w:type="dxa"/>
            <w:vMerge w:val="restart"/>
            <w:tcBorders>
              <w:top w:val="nil"/>
              <w:left w:val="single" w:color="auto" w:sz="4" w:space="0"/>
              <w:bottom w:val="single" w:color="auto" w:sz="4" w:space="0"/>
              <w:right w:val="single" w:color="auto" w:sz="4" w:space="0"/>
            </w:tcBorders>
          </w:tcPr>
          <w:p>
            <w:pPr>
              <w:spacing w:line="280" w:lineRule="exact"/>
              <w:rPr>
                <w:sz w:val="21"/>
                <w:szCs w:val="21"/>
              </w:rPr>
            </w:pPr>
          </w:p>
          <w:p>
            <w:pPr>
              <w:spacing w:line="280" w:lineRule="exact"/>
              <w:rPr>
                <w:sz w:val="21"/>
                <w:szCs w:val="21"/>
              </w:rPr>
            </w:pPr>
          </w:p>
          <w:p>
            <w:pPr>
              <w:spacing w:line="280" w:lineRule="exact"/>
              <w:rPr>
                <w:sz w:val="21"/>
                <w:szCs w:val="21"/>
              </w:rPr>
            </w:pPr>
          </w:p>
          <w:p>
            <w:pPr>
              <w:spacing w:line="280" w:lineRule="exact"/>
              <w:rPr>
                <w:sz w:val="21"/>
                <w:szCs w:val="21"/>
              </w:rPr>
            </w:pPr>
          </w:p>
          <w:p>
            <w:pPr>
              <w:spacing w:line="280" w:lineRule="exact"/>
              <w:rPr>
                <w:sz w:val="21"/>
                <w:szCs w:val="21"/>
              </w:rPr>
            </w:pPr>
          </w:p>
          <w:p>
            <w:pPr>
              <w:spacing w:line="280" w:lineRule="exact"/>
              <w:rPr>
                <w:sz w:val="21"/>
                <w:szCs w:val="21"/>
              </w:rPr>
            </w:pPr>
            <w:r>
              <w:rPr>
                <w:rFonts w:hint="eastAsia"/>
                <w:sz w:val="21"/>
                <w:szCs w:val="21"/>
              </w:rPr>
              <w:t>高清节目音频转码系统</w:t>
            </w:r>
          </w:p>
        </w:tc>
        <w:tc>
          <w:tcPr>
            <w:tcW w:w="5261" w:type="dxa"/>
            <w:tcBorders>
              <w:top w:val="single" w:color="auto" w:sz="4" w:space="0"/>
              <w:left w:val="single" w:color="auto" w:sz="4" w:space="0"/>
              <w:bottom w:val="single" w:color="auto" w:sz="4" w:space="0"/>
              <w:right w:val="single" w:color="auto" w:sz="4" w:space="0"/>
            </w:tcBorders>
          </w:tcPr>
          <w:p>
            <w:pPr>
              <w:pStyle w:val="41"/>
              <w:spacing w:line="280" w:lineRule="exact"/>
              <w:rPr>
                <w:rFonts w:cs="Times New Roman"/>
                <w:color w:val="auto"/>
                <w:sz w:val="21"/>
                <w:szCs w:val="21"/>
              </w:rPr>
            </w:pPr>
            <w:r>
              <w:rPr>
                <w:rFonts w:hint="eastAsia" w:cs="Times New Roman"/>
                <w:color w:val="auto"/>
                <w:sz w:val="21"/>
                <w:szCs w:val="21"/>
              </w:rPr>
              <w:t>PRM-9100-CHS-AC-03</w:t>
            </w:r>
          </w:p>
          <w:p>
            <w:pPr>
              <w:pStyle w:val="41"/>
              <w:spacing w:line="280" w:lineRule="exact"/>
              <w:rPr>
                <w:rFonts w:cs="Times New Roman"/>
                <w:color w:val="auto"/>
                <w:sz w:val="21"/>
                <w:szCs w:val="21"/>
              </w:rPr>
            </w:pPr>
            <w:r>
              <w:rPr>
                <w:rFonts w:hint="eastAsia" w:cs="Times New Roman"/>
                <w:color w:val="auto"/>
                <w:sz w:val="21"/>
                <w:szCs w:val="21"/>
              </w:rPr>
              <w:t>1RU机箱，双电源，具有5个I/O模块插槽，可兼容ASI接口模块和GbE-IP接口模块，实现ASI、IP形式的TS节目流多功能码流处理. Gbe模块具有双路双向千兆以太网端口，可配置独立或者冗余输入输出。</w:t>
            </w:r>
          </w:p>
        </w:tc>
        <w:tc>
          <w:tcPr>
            <w:tcW w:w="1134" w:type="dxa"/>
            <w:tcBorders>
              <w:top w:val="single" w:color="auto" w:sz="4" w:space="0"/>
              <w:left w:val="single" w:color="auto" w:sz="4" w:space="0"/>
              <w:bottom w:val="single" w:color="auto" w:sz="4" w:space="0"/>
              <w:right w:val="single" w:color="auto" w:sz="4" w:space="0"/>
            </w:tcBorders>
          </w:tcPr>
          <w:p>
            <w:pPr>
              <w:pStyle w:val="41"/>
              <w:spacing w:line="280" w:lineRule="exact"/>
              <w:rPr>
                <w:rFonts w:cs="Times New Roman"/>
                <w:color w:val="auto"/>
                <w:sz w:val="21"/>
                <w:szCs w:val="21"/>
              </w:rPr>
            </w:pPr>
          </w:p>
          <w:p>
            <w:pPr>
              <w:pStyle w:val="41"/>
              <w:spacing w:line="280" w:lineRule="exact"/>
              <w:rPr>
                <w:rFonts w:cs="Times New Roman"/>
                <w:color w:val="auto"/>
                <w:sz w:val="21"/>
                <w:szCs w:val="21"/>
              </w:rPr>
            </w:pPr>
          </w:p>
          <w:p>
            <w:pPr>
              <w:pStyle w:val="41"/>
              <w:spacing w:line="280" w:lineRule="exact"/>
              <w:rPr>
                <w:rFonts w:cs="Times New Roman"/>
                <w:color w:val="auto"/>
                <w:sz w:val="21"/>
                <w:szCs w:val="21"/>
              </w:rPr>
            </w:pPr>
            <w:r>
              <w:rPr>
                <w:rFonts w:hint="eastAsia" w:cs="Times New Roman"/>
                <w:color w:val="auto"/>
                <w:sz w:val="21"/>
                <w:szCs w:val="21"/>
              </w:rPr>
              <w:t>美国哈雷</w:t>
            </w:r>
          </w:p>
        </w:tc>
        <w:tc>
          <w:tcPr>
            <w:tcW w:w="835" w:type="dxa"/>
            <w:tcBorders>
              <w:top w:val="single" w:color="auto" w:sz="4" w:space="0"/>
              <w:left w:val="single" w:color="auto" w:sz="4" w:space="0"/>
              <w:bottom w:val="single" w:color="auto" w:sz="4" w:space="0"/>
              <w:right w:val="single" w:color="auto" w:sz="4" w:space="0"/>
            </w:tcBorders>
          </w:tcPr>
          <w:p>
            <w:pPr>
              <w:pStyle w:val="41"/>
              <w:spacing w:line="280" w:lineRule="exact"/>
              <w:rPr>
                <w:rFonts w:cs="Times New Roman"/>
                <w:color w:val="auto"/>
                <w:sz w:val="21"/>
                <w:szCs w:val="21"/>
              </w:rPr>
            </w:pPr>
          </w:p>
          <w:p>
            <w:pPr>
              <w:pStyle w:val="41"/>
              <w:spacing w:line="280" w:lineRule="exact"/>
              <w:rPr>
                <w:rFonts w:cs="Times New Roman"/>
                <w:color w:val="auto"/>
                <w:sz w:val="21"/>
                <w:szCs w:val="21"/>
              </w:rPr>
            </w:pPr>
          </w:p>
          <w:p>
            <w:pPr>
              <w:pStyle w:val="41"/>
              <w:spacing w:line="280" w:lineRule="exact"/>
              <w:rPr>
                <w:rFonts w:cs="Times New Roman"/>
                <w:color w:val="auto"/>
                <w:sz w:val="21"/>
                <w:szCs w:val="21"/>
              </w:rPr>
            </w:pPr>
            <w:r>
              <w:rPr>
                <w:rFonts w:hint="eastAsia" w:cs="Times New Roman"/>
                <w:color w:val="auto"/>
                <w:sz w:val="21"/>
                <w:szCs w:val="21"/>
              </w:rPr>
              <w:t>1台</w:t>
            </w:r>
          </w:p>
        </w:tc>
      </w:tr>
      <w:tr>
        <w:trPr>
          <w:cantSplit/>
          <w:trHeight w:val="397" w:hRule="atLeast"/>
          <w:jc w:val="center"/>
        </w:trPr>
        <w:tc>
          <w:tcPr>
            <w:tcW w:w="664"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5261" w:type="dxa"/>
            <w:tcBorders>
              <w:top w:val="single" w:color="auto" w:sz="4" w:space="0"/>
              <w:left w:val="single" w:color="auto" w:sz="4" w:space="0"/>
              <w:bottom w:val="single" w:color="auto" w:sz="4" w:space="0"/>
              <w:right w:val="single" w:color="auto" w:sz="4" w:space="0"/>
            </w:tcBorders>
          </w:tcPr>
          <w:p>
            <w:pPr>
              <w:pStyle w:val="41"/>
              <w:spacing w:line="280" w:lineRule="exact"/>
              <w:rPr>
                <w:rFonts w:cs="Times New Roman"/>
                <w:color w:val="auto"/>
                <w:sz w:val="21"/>
                <w:szCs w:val="21"/>
              </w:rPr>
            </w:pPr>
            <w:r>
              <w:rPr>
                <w:rFonts w:hint="eastAsia" w:cs="Times New Roman"/>
                <w:color w:val="auto"/>
                <w:sz w:val="21"/>
                <w:szCs w:val="21"/>
              </w:rPr>
              <w:t>PRM-9K-IOM-GBE-0005</w:t>
            </w:r>
          </w:p>
          <w:p>
            <w:pPr>
              <w:pStyle w:val="41"/>
              <w:spacing w:line="280" w:lineRule="exact"/>
              <w:rPr>
                <w:rFonts w:cs="Times New Roman"/>
                <w:color w:val="auto"/>
                <w:sz w:val="21"/>
                <w:szCs w:val="21"/>
              </w:rPr>
            </w:pPr>
            <w:r>
              <w:rPr>
                <w:rFonts w:hint="eastAsia" w:cs="Times New Roman"/>
                <w:color w:val="auto"/>
                <w:sz w:val="21"/>
                <w:szCs w:val="21"/>
              </w:rPr>
              <w:t>提供2个Gbe接口，可配置为主备</w:t>
            </w:r>
          </w:p>
        </w:tc>
        <w:tc>
          <w:tcPr>
            <w:tcW w:w="1134" w:type="dxa"/>
            <w:tcBorders>
              <w:top w:val="single" w:color="auto" w:sz="4" w:space="0"/>
              <w:left w:val="single" w:color="auto" w:sz="4" w:space="0"/>
              <w:bottom w:val="single" w:color="auto" w:sz="4" w:space="0"/>
              <w:right w:val="single" w:color="auto" w:sz="4" w:space="0"/>
            </w:tcBorders>
          </w:tcPr>
          <w:p>
            <w:pPr>
              <w:pStyle w:val="41"/>
              <w:spacing w:line="280" w:lineRule="exact"/>
              <w:rPr>
                <w:rFonts w:cs="Times New Roman"/>
                <w:color w:val="auto"/>
                <w:sz w:val="21"/>
                <w:szCs w:val="21"/>
              </w:rPr>
            </w:pPr>
            <w:r>
              <w:rPr>
                <w:rFonts w:hint="eastAsia" w:cs="Times New Roman"/>
                <w:color w:val="auto"/>
                <w:sz w:val="21"/>
                <w:szCs w:val="21"/>
              </w:rPr>
              <w:t>美国哈雷</w:t>
            </w:r>
          </w:p>
        </w:tc>
        <w:tc>
          <w:tcPr>
            <w:tcW w:w="835" w:type="dxa"/>
            <w:tcBorders>
              <w:top w:val="single" w:color="auto" w:sz="4" w:space="0"/>
              <w:left w:val="single" w:color="auto" w:sz="4" w:space="0"/>
              <w:bottom w:val="single" w:color="auto" w:sz="4" w:space="0"/>
              <w:right w:val="single" w:color="auto" w:sz="4" w:space="0"/>
            </w:tcBorders>
          </w:tcPr>
          <w:p>
            <w:pPr>
              <w:pStyle w:val="41"/>
              <w:spacing w:line="280" w:lineRule="exact"/>
              <w:rPr>
                <w:rFonts w:cs="Times New Roman"/>
                <w:color w:val="auto"/>
                <w:sz w:val="21"/>
                <w:szCs w:val="21"/>
              </w:rPr>
            </w:pPr>
            <w:r>
              <w:rPr>
                <w:rFonts w:hint="eastAsia" w:cs="Times New Roman"/>
                <w:color w:val="auto"/>
                <w:sz w:val="21"/>
                <w:szCs w:val="21"/>
              </w:rPr>
              <w:t>2块</w:t>
            </w:r>
          </w:p>
        </w:tc>
      </w:tr>
      <w:tr>
        <w:trPr>
          <w:cantSplit/>
          <w:trHeight w:val="397" w:hRule="atLeast"/>
          <w:jc w:val="center"/>
        </w:trPr>
        <w:tc>
          <w:tcPr>
            <w:tcW w:w="664"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5261" w:type="dxa"/>
            <w:tcBorders>
              <w:top w:val="single" w:color="auto" w:sz="4" w:space="0"/>
              <w:left w:val="single" w:color="auto" w:sz="4" w:space="0"/>
              <w:bottom w:val="single" w:color="auto" w:sz="4" w:space="0"/>
              <w:right w:val="single" w:color="auto" w:sz="4" w:space="0"/>
            </w:tcBorders>
            <w:vAlign w:val="center"/>
          </w:tcPr>
          <w:p>
            <w:pPr>
              <w:pStyle w:val="41"/>
              <w:spacing w:line="280" w:lineRule="exact"/>
              <w:rPr>
                <w:rFonts w:cs="Times New Roman"/>
                <w:color w:val="auto"/>
                <w:sz w:val="21"/>
                <w:szCs w:val="21"/>
              </w:rPr>
            </w:pPr>
            <w:r>
              <w:rPr>
                <w:rFonts w:hint="eastAsia" w:cs="Times New Roman"/>
                <w:color w:val="auto"/>
                <w:sz w:val="21"/>
                <w:szCs w:val="21"/>
              </w:rPr>
              <w:t>AC3音频转码AC3+MPEG I  音频授权</w:t>
            </w:r>
          </w:p>
        </w:tc>
        <w:tc>
          <w:tcPr>
            <w:tcW w:w="1134" w:type="dxa"/>
            <w:tcBorders>
              <w:top w:val="single" w:color="auto" w:sz="4" w:space="0"/>
              <w:left w:val="single" w:color="auto" w:sz="4" w:space="0"/>
              <w:bottom w:val="single" w:color="auto" w:sz="4" w:space="0"/>
              <w:right w:val="single" w:color="auto" w:sz="4" w:space="0"/>
            </w:tcBorders>
            <w:vAlign w:val="center"/>
          </w:tcPr>
          <w:p>
            <w:pPr>
              <w:pStyle w:val="41"/>
              <w:spacing w:line="280" w:lineRule="exact"/>
              <w:rPr>
                <w:rFonts w:cs="Times New Roman"/>
                <w:color w:val="auto"/>
                <w:sz w:val="21"/>
                <w:szCs w:val="21"/>
              </w:rPr>
            </w:pPr>
            <w:r>
              <w:rPr>
                <w:rFonts w:hint="eastAsia" w:cs="Times New Roman"/>
                <w:color w:val="auto"/>
                <w:sz w:val="21"/>
                <w:szCs w:val="21"/>
              </w:rPr>
              <w:t>美国哈雷</w:t>
            </w:r>
          </w:p>
        </w:tc>
        <w:tc>
          <w:tcPr>
            <w:tcW w:w="835" w:type="dxa"/>
            <w:tcBorders>
              <w:top w:val="single" w:color="auto" w:sz="4" w:space="0"/>
              <w:left w:val="single" w:color="auto" w:sz="4" w:space="0"/>
              <w:bottom w:val="single" w:color="auto" w:sz="4" w:space="0"/>
              <w:right w:val="single" w:color="auto" w:sz="4" w:space="0"/>
            </w:tcBorders>
            <w:vAlign w:val="center"/>
          </w:tcPr>
          <w:p>
            <w:pPr>
              <w:pStyle w:val="41"/>
              <w:spacing w:line="280" w:lineRule="exact"/>
              <w:rPr>
                <w:rFonts w:cs="Times New Roman"/>
                <w:color w:val="auto"/>
                <w:sz w:val="21"/>
                <w:szCs w:val="21"/>
              </w:rPr>
            </w:pPr>
            <w:r>
              <w:rPr>
                <w:rFonts w:hint="eastAsia" w:cs="Times New Roman"/>
                <w:color w:val="auto"/>
                <w:sz w:val="21"/>
                <w:szCs w:val="21"/>
              </w:rPr>
              <w:t>16项</w:t>
            </w:r>
          </w:p>
        </w:tc>
      </w:tr>
      <w:tr>
        <w:trPr>
          <w:cantSplit/>
          <w:trHeight w:val="397" w:hRule="atLeast"/>
          <w:jc w:val="center"/>
        </w:trPr>
        <w:tc>
          <w:tcPr>
            <w:tcW w:w="664"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5261" w:type="dxa"/>
            <w:tcBorders>
              <w:top w:val="single" w:color="auto" w:sz="4" w:space="0"/>
              <w:left w:val="single" w:color="auto" w:sz="4" w:space="0"/>
              <w:bottom w:val="single" w:color="auto" w:sz="4" w:space="0"/>
              <w:right w:val="single" w:color="auto" w:sz="4" w:space="0"/>
            </w:tcBorders>
            <w:vAlign w:val="center"/>
          </w:tcPr>
          <w:p>
            <w:pPr>
              <w:pStyle w:val="41"/>
              <w:spacing w:line="280" w:lineRule="exact"/>
              <w:rPr>
                <w:rFonts w:cs="Times New Roman"/>
                <w:color w:val="auto"/>
                <w:sz w:val="21"/>
                <w:szCs w:val="21"/>
              </w:rPr>
            </w:pPr>
            <w:r>
              <w:rPr>
                <w:rFonts w:hint="eastAsia" w:cs="Times New Roman"/>
                <w:color w:val="auto"/>
                <w:sz w:val="21"/>
                <w:szCs w:val="21"/>
              </w:rPr>
              <w:t>GSF9100-02</w:t>
            </w:r>
          </w:p>
          <w:p>
            <w:pPr>
              <w:pStyle w:val="41"/>
              <w:spacing w:line="280" w:lineRule="exact"/>
              <w:rPr>
                <w:rFonts w:cs="Times New Roman"/>
                <w:color w:val="auto"/>
                <w:sz w:val="21"/>
                <w:szCs w:val="21"/>
              </w:rPr>
            </w:pPr>
            <w:r>
              <w:rPr>
                <w:rFonts w:hint="eastAsia" w:cs="Times New Roman"/>
                <w:color w:val="auto"/>
                <w:sz w:val="21"/>
                <w:szCs w:val="21"/>
              </w:rPr>
              <w:t>SFP电口适配模块</w:t>
            </w:r>
          </w:p>
        </w:tc>
        <w:tc>
          <w:tcPr>
            <w:tcW w:w="1134" w:type="dxa"/>
            <w:tcBorders>
              <w:top w:val="single" w:color="auto" w:sz="4" w:space="0"/>
              <w:left w:val="single" w:color="auto" w:sz="4" w:space="0"/>
              <w:bottom w:val="single" w:color="auto" w:sz="4" w:space="0"/>
              <w:right w:val="single" w:color="auto" w:sz="4" w:space="0"/>
            </w:tcBorders>
            <w:vAlign w:val="center"/>
          </w:tcPr>
          <w:p>
            <w:pPr>
              <w:pStyle w:val="41"/>
              <w:spacing w:line="280" w:lineRule="exact"/>
              <w:rPr>
                <w:rFonts w:cs="Times New Roman"/>
                <w:color w:val="auto"/>
                <w:sz w:val="21"/>
                <w:szCs w:val="21"/>
              </w:rPr>
            </w:pPr>
            <w:r>
              <w:rPr>
                <w:rFonts w:hint="eastAsia" w:cs="Times New Roman"/>
                <w:color w:val="auto"/>
                <w:sz w:val="21"/>
                <w:szCs w:val="21"/>
              </w:rPr>
              <w:t>美国哈雷</w:t>
            </w:r>
          </w:p>
        </w:tc>
        <w:tc>
          <w:tcPr>
            <w:tcW w:w="835" w:type="dxa"/>
            <w:tcBorders>
              <w:top w:val="single" w:color="auto" w:sz="4" w:space="0"/>
              <w:left w:val="single" w:color="auto" w:sz="4" w:space="0"/>
              <w:bottom w:val="single" w:color="auto" w:sz="4" w:space="0"/>
              <w:right w:val="single" w:color="auto" w:sz="4" w:space="0"/>
            </w:tcBorders>
            <w:vAlign w:val="center"/>
          </w:tcPr>
          <w:p>
            <w:pPr>
              <w:pStyle w:val="41"/>
              <w:spacing w:line="280" w:lineRule="exact"/>
              <w:rPr>
                <w:rFonts w:cs="Times New Roman"/>
                <w:color w:val="auto"/>
                <w:sz w:val="21"/>
                <w:szCs w:val="21"/>
              </w:rPr>
            </w:pPr>
            <w:r>
              <w:rPr>
                <w:rFonts w:hint="eastAsia" w:cs="Times New Roman"/>
                <w:color w:val="auto"/>
                <w:sz w:val="21"/>
                <w:szCs w:val="21"/>
              </w:rPr>
              <w:t>2个</w:t>
            </w:r>
          </w:p>
        </w:tc>
      </w:tr>
      <w:tr>
        <w:trPr>
          <w:cantSplit/>
          <w:trHeight w:val="397" w:hRule="atLeast"/>
          <w:jc w:val="center"/>
        </w:trPr>
        <w:tc>
          <w:tcPr>
            <w:tcW w:w="664"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52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rPr>
                <w:rFonts w:cs="Times New Roman"/>
                <w:sz w:val="21"/>
                <w:szCs w:val="21"/>
              </w:rPr>
            </w:pPr>
            <w:r>
              <w:rPr>
                <w:rFonts w:hint="eastAsia"/>
                <w:sz w:val="21"/>
                <w:szCs w:val="21"/>
              </w:rPr>
              <w:t>PRM-1K-IPC-ACE-0001</w:t>
            </w:r>
          </w:p>
          <w:p>
            <w:pPr>
              <w:adjustRightInd w:val="0"/>
              <w:snapToGrid w:val="0"/>
              <w:spacing w:line="280" w:lineRule="exact"/>
              <w:rPr>
                <w:sz w:val="21"/>
                <w:szCs w:val="21"/>
              </w:rPr>
            </w:pPr>
            <w:r>
              <w:rPr>
                <w:rFonts w:hint="eastAsia"/>
                <w:sz w:val="21"/>
                <w:szCs w:val="21"/>
              </w:rPr>
              <w:t>通用转码模块，支持MPEG2/H.264 SD/HD转码，通过软件授权控制</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rPr>
                <w:sz w:val="21"/>
                <w:szCs w:val="21"/>
              </w:rPr>
            </w:pPr>
            <w:r>
              <w:rPr>
                <w:rFonts w:hint="eastAsia"/>
                <w:sz w:val="21"/>
                <w:szCs w:val="21"/>
              </w:rPr>
              <w:t>美国哈雷</w:t>
            </w:r>
          </w:p>
        </w:tc>
        <w:tc>
          <w:tcPr>
            <w:tcW w:w="8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sz w:val="21"/>
                <w:szCs w:val="21"/>
              </w:rPr>
            </w:pPr>
            <w:r>
              <w:rPr>
                <w:rFonts w:hint="eastAsia"/>
                <w:sz w:val="21"/>
                <w:szCs w:val="21"/>
              </w:rPr>
              <w:t>1块</w:t>
            </w:r>
          </w:p>
        </w:tc>
      </w:tr>
    </w:tbl>
    <w:p>
      <w:pPr>
        <w:rPr>
          <w:rFonts w:cs="Times New Roman"/>
          <w:kern w:val="2"/>
          <w:sz w:val="21"/>
          <w:szCs w:val="21"/>
        </w:rPr>
      </w:pPr>
    </w:p>
    <w:p>
      <w:pPr>
        <w:pStyle w:val="42"/>
        <w:rPr>
          <w:rFonts w:ascii="宋体" w:hAnsi="宋体"/>
        </w:rPr>
      </w:pPr>
      <w:r>
        <w:rPr>
          <w:rFonts w:hint="eastAsia" w:ascii="宋体" w:hAnsi="宋体"/>
        </w:rPr>
        <w:t>【2】F201705068-南方新媒体卫星信号后端系统扩容采购项目合同</w:t>
      </w:r>
    </w:p>
    <w:p>
      <w:pPr>
        <w:pStyle w:val="42"/>
        <w:rPr>
          <w:rFonts w:ascii="宋体" w:hAnsi="宋体"/>
        </w:rPr>
      </w:pPr>
      <w:r>
        <w:rPr>
          <w:rFonts w:hint="eastAsia" w:ascii="宋体" w:hAnsi="宋体"/>
        </w:rPr>
        <w:t>本合同标的的货物均在使用，拟计划续保至2025年12月31日。</w:t>
      </w:r>
    </w:p>
    <w:tbl>
      <w:tblPr>
        <w:tblStyle w:val="19"/>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566"/>
        <w:gridCol w:w="1134"/>
        <w:gridCol w:w="4959"/>
        <w:gridCol w:w="1134"/>
        <w:gridCol w:w="821"/>
      </w:tblGrid>
      <w:tr>
        <w:trPr>
          <w:cantSplit/>
          <w:trHeight w:val="397" w:hRule="atLeast"/>
          <w:tblHeader/>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序号</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分项名称</w:t>
            </w:r>
          </w:p>
        </w:tc>
        <w:tc>
          <w:tcPr>
            <w:tcW w:w="496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品牌、规格型号、主要技术参数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制造商</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数量</w:t>
            </w:r>
          </w:p>
        </w:tc>
      </w:tr>
      <w:tr>
        <w:trPr>
          <w:cantSplit/>
          <w:trHeight w:val="397"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bCs/>
                <w:sz w:val="21"/>
                <w:szCs w:val="21"/>
              </w:rPr>
            </w:pPr>
            <w:r>
              <w:rPr>
                <w:rFonts w:hint="eastAsia"/>
                <w:sz w:val="21"/>
                <w:szCs w:val="21"/>
              </w:rPr>
              <w:t>高标清数字卫星接收解码器</w:t>
            </w:r>
          </w:p>
        </w:tc>
        <w:tc>
          <w:tcPr>
            <w:tcW w:w="4961" w:type="dxa"/>
            <w:tcBorders>
              <w:top w:val="single" w:color="auto" w:sz="4" w:space="0"/>
              <w:left w:val="single" w:color="auto" w:sz="4" w:space="0"/>
              <w:bottom w:val="single" w:color="auto" w:sz="4" w:space="0"/>
              <w:right w:val="single" w:color="auto" w:sz="4" w:space="0"/>
            </w:tcBorders>
            <w:vAlign w:val="center"/>
          </w:tcPr>
          <w:p>
            <w:pPr>
              <w:rPr>
                <w:bCs/>
                <w:sz w:val="21"/>
                <w:szCs w:val="21"/>
              </w:rPr>
            </w:pPr>
            <w:r>
              <w:rPr>
                <w:rFonts w:hint="eastAsia"/>
                <w:sz w:val="21"/>
                <w:szCs w:val="21"/>
              </w:rPr>
              <w:t>PVR7100：1RU机箱，支持四路DVB-S QPSK输入，同时支持四路卫星信号解调。配有四个CAM插槽。两路ASI和IP双输出。</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美国哈雷</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bCs/>
                <w:sz w:val="21"/>
                <w:szCs w:val="21"/>
              </w:rPr>
            </w:pPr>
            <w:r>
              <w:rPr>
                <w:rFonts w:hint="eastAsia"/>
                <w:bCs/>
                <w:sz w:val="21"/>
                <w:szCs w:val="21"/>
              </w:rPr>
              <w:t>17台</w:t>
            </w:r>
          </w:p>
        </w:tc>
      </w:tr>
      <w:tr>
        <w:trPr>
          <w:cantSplit/>
          <w:trHeight w:val="397"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2</w:t>
            </w:r>
          </w:p>
        </w:tc>
        <w:tc>
          <w:tcPr>
            <w:tcW w:w="1701" w:type="dxa"/>
            <w:gridSpan w:val="2"/>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网管系统</w:t>
            </w:r>
          </w:p>
        </w:tc>
        <w:tc>
          <w:tcPr>
            <w:tcW w:w="4961" w:type="dxa"/>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配置DELL网管服务器、win2008 SERVER 操作系统、SQL 数据库、NMX网管软件( 含网管交换机)</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美国哈雷</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bCs/>
                <w:sz w:val="21"/>
                <w:szCs w:val="21"/>
              </w:rPr>
            </w:pPr>
            <w:r>
              <w:rPr>
                <w:rFonts w:hint="eastAsia"/>
                <w:bCs/>
                <w:sz w:val="21"/>
                <w:szCs w:val="21"/>
              </w:rPr>
              <w:t>1套</w:t>
            </w:r>
          </w:p>
        </w:tc>
      </w:tr>
      <w:tr>
        <w:trPr>
          <w:cantSplit/>
          <w:trHeight w:val="397" w:hRule="atLeast"/>
          <w:jc w:val="center"/>
        </w:trPr>
        <w:tc>
          <w:tcPr>
            <w:tcW w:w="822" w:type="dxa"/>
            <w:vMerge w:val="restart"/>
            <w:tcBorders>
              <w:top w:val="nil"/>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3</w:t>
            </w:r>
          </w:p>
        </w:tc>
        <w:tc>
          <w:tcPr>
            <w:tcW w:w="567" w:type="dxa"/>
            <w:vMerge w:val="restart"/>
            <w:tcBorders>
              <w:top w:val="nil"/>
              <w:left w:val="single" w:color="auto" w:sz="4" w:space="0"/>
              <w:bottom w:val="single" w:color="auto" w:sz="4" w:space="0"/>
              <w:right w:val="single" w:color="auto" w:sz="4" w:space="0"/>
            </w:tcBorders>
            <w:vAlign w:val="center"/>
          </w:tcPr>
          <w:p>
            <w:pPr>
              <w:snapToGrid w:val="0"/>
              <w:rPr>
                <w:sz w:val="21"/>
                <w:szCs w:val="21"/>
              </w:rPr>
            </w:pPr>
            <w:r>
              <w:rPr>
                <w:rFonts w:hint="eastAsia"/>
                <w:sz w:val="21"/>
                <w:szCs w:val="21"/>
              </w:rPr>
              <w:t>标清转码器</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b/>
                <w:sz w:val="21"/>
                <w:szCs w:val="21"/>
              </w:rPr>
            </w:pPr>
            <w:r>
              <w:rPr>
                <w:rFonts w:hint="eastAsia"/>
                <w:sz w:val="21"/>
                <w:szCs w:val="21"/>
              </w:rPr>
              <w:t>转码器机框</w:t>
            </w:r>
          </w:p>
        </w:tc>
        <w:tc>
          <w:tcPr>
            <w:tcW w:w="4961"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PRM-9100-CHS-AC-03</w:t>
            </w:r>
          </w:p>
          <w:p>
            <w:pPr>
              <w:snapToGrid w:val="0"/>
              <w:rPr>
                <w:b/>
                <w:sz w:val="21"/>
                <w:szCs w:val="21"/>
              </w:rPr>
            </w:pPr>
            <w:r>
              <w:rPr>
                <w:rFonts w:hint="eastAsia"/>
                <w:sz w:val="21"/>
                <w:szCs w:val="21"/>
              </w:rPr>
              <w:t>1RU机箱，双电源，具有5个I/O模块插槽，可兼容ASI接口模块和GbE-IP接口模块，实现ASI、IP形式的TS节目流多功能码流处理. Gbe模块具有双路双向千兆以太网端口，可配置独立或者冗余输入输出。</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sz w:val="21"/>
                <w:szCs w:val="21"/>
              </w:rPr>
            </w:pPr>
            <w:r>
              <w:rPr>
                <w:rFonts w:hint="eastAsia"/>
                <w:sz w:val="21"/>
                <w:szCs w:val="21"/>
              </w:rPr>
              <w:t>美国哈雷</w:t>
            </w:r>
          </w:p>
        </w:tc>
        <w:tc>
          <w:tcPr>
            <w:tcW w:w="821" w:type="dxa"/>
            <w:tcBorders>
              <w:top w:val="single" w:color="auto" w:sz="4" w:space="0"/>
              <w:left w:val="single" w:color="auto" w:sz="4" w:space="0"/>
              <w:bottom w:val="single" w:color="auto" w:sz="4" w:space="0"/>
              <w:right w:val="single" w:color="auto" w:sz="4" w:space="0"/>
            </w:tcBorders>
            <w:vAlign w:val="center"/>
          </w:tcPr>
          <w:p>
            <w:pPr>
              <w:snapToGrid w:val="0"/>
              <w:jc w:val="center"/>
              <w:rPr>
                <w:sz w:val="21"/>
                <w:szCs w:val="21"/>
              </w:rPr>
            </w:pPr>
            <w:r>
              <w:rPr>
                <w:rFonts w:hint="eastAsia"/>
                <w:sz w:val="21"/>
                <w:szCs w:val="21"/>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822"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b/>
                <w:sz w:val="21"/>
                <w:szCs w:val="21"/>
              </w:rPr>
            </w:pPr>
            <w:r>
              <w:rPr>
                <w:rFonts w:hint="eastAsia"/>
                <w:sz w:val="21"/>
                <w:szCs w:val="21"/>
              </w:rPr>
              <w:t>Gbe I/O模块</w:t>
            </w:r>
          </w:p>
        </w:tc>
        <w:tc>
          <w:tcPr>
            <w:tcW w:w="4961"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PRM-9K-IOM-GBE-0005</w:t>
            </w:r>
          </w:p>
          <w:p>
            <w:pPr>
              <w:snapToGrid w:val="0"/>
              <w:rPr>
                <w:b/>
                <w:sz w:val="21"/>
                <w:szCs w:val="21"/>
              </w:rPr>
            </w:pPr>
            <w:r>
              <w:rPr>
                <w:rFonts w:hint="eastAsia"/>
                <w:sz w:val="21"/>
                <w:szCs w:val="21"/>
              </w:rPr>
              <w:t>提供2个Gbe接口，可配置为主备</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b/>
                <w:sz w:val="21"/>
                <w:szCs w:val="21"/>
              </w:rPr>
            </w:pPr>
            <w:r>
              <w:rPr>
                <w:rFonts w:hint="eastAsia"/>
                <w:sz w:val="21"/>
                <w:szCs w:val="21"/>
              </w:rPr>
              <w:t>美国哈雷</w:t>
            </w:r>
          </w:p>
        </w:tc>
        <w:tc>
          <w:tcPr>
            <w:tcW w:w="821" w:type="dxa"/>
            <w:tcBorders>
              <w:top w:val="single" w:color="auto" w:sz="4" w:space="0"/>
              <w:left w:val="single" w:color="auto" w:sz="4" w:space="0"/>
              <w:bottom w:val="single" w:color="auto" w:sz="4" w:space="0"/>
              <w:right w:val="single" w:color="auto" w:sz="4" w:space="0"/>
            </w:tcBorders>
            <w:vAlign w:val="center"/>
          </w:tcPr>
          <w:p>
            <w:pPr>
              <w:snapToGrid w:val="0"/>
              <w:jc w:val="center"/>
              <w:rPr>
                <w:sz w:val="21"/>
                <w:szCs w:val="21"/>
              </w:rPr>
            </w:pPr>
            <w:r>
              <w:rPr>
                <w:rFonts w:hint="eastAsia"/>
                <w:sz w:val="21"/>
                <w:szCs w:val="21"/>
              </w:rPr>
              <w:t>4块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822"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rPr>
                <w:sz w:val="21"/>
                <w:szCs w:val="21"/>
              </w:rPr>
            </w:pPr>
            <w:r>
              <w:rPr>
                <w:rFonts w:hint="eastAsia"/>
                <w:sz w:val="21"/>
                <w:szCs w:val="21"/>
              </w:rPr>
              <w:t>ACE转码模块</w:t>
            </w:r>
          </w:p>
        </w:tc>
        <w:tc>
          <w:tcPr>
            <w:tcW w:w="4961"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PRM-9K-IPC-ACE-0001</w:t>
            </w:r>
          </w:p>
          <w:p>
            <w:pPr>
              <w:snapToGrid w:val="0"/>
              <w:rPr>
                <w:b/>
                <w:sz w:val="21"/>
                <w:szCs w:val="21"/>
              </w:rPr>
            </w:pPr>
            <w:r>
              <w:rPr>
                <w:rFonts w:hint="eastAsia"/>
                <w:sz w:val="21"/>
                <w:szCs w:val="21"/>
              </w:rPr>
              <w:t>通用转码模块，支持MPEG2/H.264 SD/HD转码，通过软件授权控制</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b/>
                <w:sz w:val="21"/>
                <w:szCs w:val="21"/>
              </w:rPr>
            </w:pPr>
            <w:r>
              <w:rPr>
                <w:rFonts w:hint="eastAsia"/>
                <w:sz w:val="21"/>
                <w:szCs w:val="21"/>
              </w:rPr>
              <w:t>美国哈雷</w:t>
            </w:r>
          </w:p>
        </w:tc>
        <w:tc>
          <w:tcPr>
            <w:tcW w:w="821" w:type="dxa"/>
            <w:tcBorders>
              <w:top w:val="single" w:color="auto" w:sz="4" w:space="0"/>
              <w:left w:val="single" w:color="auto" w:sz="4" w:space="0"/>
              <w:bottom w:val="single" w:color="auto" w:sz="4" w:space="0"/>
              <w:right w:val="single" w:color="auto" w:sz="4" w:space="0"/>
            </w:tcBorders>
            <w:vAlign w:val="center"/>
          </w:tcPr>
          <w:p>
            <w:pPr>
              <w:snapToGrid w:val="0"/>
              <w:jc w:val="center"/>
              <w:rPr>
                <w:sz w:val="21"/>
                <w:szCs w:val="21"/>
              </w:rPr>
            </w:pPr>
            <w:r>
              <w:rPr>
                <w:rFonts w:hint="eastAsia"/>
                <w:sz w:val="21"/>
                <w:szCs w:val="21"/>
              </w:rPr>
              <w:t>6块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822"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b/>
                <w:sz w:val="21"/>
                <w:szCs w:val="21"/>
              </w:rPr>
            </w:pPr>
            <w:r>
              <w:rPr>
                <w:rFonts w:hint="eastAsia"/>
                <w:sz w:val="21"/>
                <w:szCs w:val="21"/>
              </w:rPr>
              <w:t>ACE标清转码授权</w:t>
            </w:r>
          </w:p>
        </w:tc>
        <w:tc>
          <w:tcPr>
            <w:tcW w:w="4961"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FW-PRM-9K-ACE-AVC-OUT-SD</w:t>
            </w:r>
          </w:p>
          <w:p>
            <w:pPr>
              <w:snapToGrid w:val="0"/>
              <w:rPr>
                <w:b/>
                <w:sz w:val="21"/>
                <w:szCs w:val="21"/>
              </w:rPr>
            </w:pPr>
            <w:r>
              <w:rPr>
                <w:rFonts w:hint="eastAsia"/>
                <w:sz w:val="21"/>
                <w:szCs w:val="21"/>
              </w:rPr>
              <w:t>MPEG2/H.264标清转码授权</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b/>
                <w:sz w:val="21"/>
                <w:szCs w:val="21"/>
              </w:rPr>
            </w:pPr>
            <w:r>
              <w:rPr>
                <w:rFonts w:hint="eastAsia"/>
                <w:sz w:val="21"/>
                <w:szCs w:val="21"/>
              </w:rPr>
              <w:t>美国哈雷</w:t>
            </w:r>
          </w:p>
        </w:tc>
        <w:tc>
          <w:tcPr>
            <w:tcW w:w="821" w:type="dxa"/>
            <w:tcBorders>
              <w:top w:val="single" w:color="auto" w:sz="4" w:space="0"/>
              <w:left w:val="single" w:color="auto" w:sz="4" w:space="0"/>
              <w:bottom w:val="single" w:color="auto" w:sz="4" w:space="0"/>
              <w:right w:val="single" w:color="auto" w:sz="4" w:space="0"/>
            </w:tcBorders>
            <w:vAlign w:val="center"/>
          </w:tcPr>
          <w:p>
            <w:pPr>
              <w:snapToGrid w:val="0"/>
              <w:jc w:val="center"/>
              <w:rPr>
                <w:sz w:val="21"/>
                <w:szCs w:val="21"/>
              </w:rPr>
            </w:pPr>
            <w:r>
              <w:rPr>
                <w:rFonts w:hint="eastAsia"/>
                <w:sz w:val="21"/>
                <w:szCs w:val="21"/>
              </w:rPr>
              <w:t>69套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822"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sz w:val="21"/>
                <w:szCs w:val="21"/>
              </w:rPr>
            </w:pPr>
            <w:r>
              <w:rPr>
                <w:rFonts w:hint="eastAsia"/>
                <w:sz w:val="21"/>
                <w:szCs w:val="21"/>
              </w:rPr>
              <w:t>ASI模块</w:t>
            </w:r>
          </w:p>
        </w:tc>
        <w:tc>
          <w:tcPr>
            <w:tcW w:w="4961"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PRM-9K-IOM-ASI-SCR</w:t>
            </w:r>
          </w:p>
          <w:p>
            <w:pPr>
              <w:rPr>
                <w:sz w:val="21"/>
                <w:szCs w:val="21"/>
              </w:rPr>
            </w:pPr>
            <w:r>
              <w:rPr>
                <w:rFonts w:hint="eastAsia"/>
                <w:sz w:val="21"/>
                <w:szCs w:val="21"/>
              </w:rPr>
              <w:t>提供4个ASI接口，可配置输入或者输出</w:t>
            </w:r>
          </w:p>
        </w:tc>
        <w:tc>
          <w:tcPr>
            <w:tcW w:w="1134"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美国哈雷</w:t>
            </w:r>
          </w:p>
        </w:tc>
        <w:tc>
          <w:tcPr>
            <w:tcW w:w="821" w:type="dxa"/>
            <w:tcBorders>
              <w:top w:val="single" w:color="auto" w:sz="4" w:space="0"/>
              <w:left w:val="single" w:color="auto" w:sz="4" w:space="0"/>
              <w:bottom w:val="single" w:color="auto" w:sz="4" w:space="0"/>
              <w:right w:val="single" w:color="auto" w:sz="4" w:space="0"/>
            </w:tcBorders>
            <w:vAlign w:val="center"/>
          </w:tcPr>
          <w:p>
            <w:pPr>
              <w:ind w:firstLine="105" w:firstLineChars="50"/>
              <w:rPr>
                <w:sz w:val="21"/>
                <w:szCs w:val="21"/>
              </w:rPr>
            </w:pPr>
            <w:r>
              <w:rPr>
                <w:rFonts w:hint="eastAsia"/>
                <w:sz w:val="21"/>
                <w:szCs w:val="21"/>
              </w:rPr>
              <w:t>2块</w:t>
            </w:r>
          </w:p>
        </w:tc>
      </w:tr>
      <w:tr>
        <w:trPr>
          <w:cantSplit/>
          <w:trHeight w:val="397" w:hRule="atLeast"/>
          <w:jc w:val="center"/>
        </w:trPr>
        <w:tc>
          <w:tcPr>
            <w:tcW w:w="822"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b/>
                <w:sz w:val="21"/>
                <w:szCs w:val="21"/>
              </w:rPr>
            </w:pPr>
            <w:r>
              <w:rPr>
                <w:rFonts w:hint="eastAsia"/>
                <w:sz w:val="21"/>
                <w:szCs w:val="21"/>
              </w:rPr>
              <w:t>SFP电口模块</w:t>
            </w:r>
          </w:p>
        </w:tc>
        <w:tc>
          <w:tcPr>
            <w:tcW w:w="4961"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GSF9100-02</w:t>
            </w:r>
          </w:p>
          <w:p>
            <w:pPr>
              <w:snapToGrid w:val="0"/>
              <w:rPr>
                <w:b/>
                <w:sz w:val="21"/>
                <w:szCs w:val="21"/>
              </w:rPr>
            </w:pPr>
            <w:r>
              <w:rPr>
                <w:rFonts w:hint="eastAsia"/>
                <w:sz w:val="21"/>
                <w:szCs w:val="21"/>
              </w:rPr>
              <w:t>SFP电口适配模块</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b/>
                <w:sz w:val="21"/>
                <w:szCs w:val="21"/>
              </w:rPr>
            </w:pPr>
            <w:r>
              <w:rPr>
                <w:rFonts w:hint="eastAsia"/>
                <w:sz w:val="21"/>
                <w:szCs w:val="21"/>
              </w:rPr>
              <w:t>美国哈雷</w:t>
            </w:r>
          </w:p>
        </w:tc>
        <w:tc>
          <w:tcPr>
            <w:tcW w:w="821" w:type="dxa"/>
            <w:tcBorders>
              <w:top w:val="single" w:color="auto" w:sz="4" w:space="0"/>
              <w:left w:val="single" w:color="auto" w:sz="4" w:space="0"/>
              <w:bottom w:val="single" w:color="auto" w:sz="4" w:space="0"/>
              <w:right w:val="single" w:color="auto" w:sz="4" w:space="0"/>
            </w:tcBorders>
            <w:vAlign w:val="center"/>
          </w:tcPr>
          <w:p>
            <w:pPr>
              <w:snapToGrid w:val="0"/>
              <w:jc w:val="center"/>
              <w:rPr>
                <w:sz w:val="21"/>
                <w:szCs w:val="21"/>
              </w:rPr>
            </w:pPr>
            <w:r>
              <w:rPr>
                <w:rFonts w:hint="eastAsia"/>
                <w:sz w:val="21"/>
                <w:szCs w:val="21"/>
              </w:rPr>
              <w:t>8个</w:t>
            </w:r>
          </w:p>
        </w:tc>
      </w:tr>
      <w:tr>
        <w:trPr>
          <w:cantSplit/>
          <w:trHeight w:val="397" w:hRule="atLeast"/>
          <w:jc w:val="center"/>
        </w:trPr>
        <w:tc>
          <w:tcPr>
            <w:tcW w:w="822" w:type="dxa"/>
            <w:vMerge w:val="restart"/>
            <w:tcBorders>
              <w:top w:val="nil"/>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4</w:t>
            </w:r>
          </w:p>
        </w:tc>
        <w:tc>
          <w:tcPr>
            <w:tcW w:w="567" w:type="dxa"/>
            <w:vMerge w:val="restart"/>
            <w:tcBorders>
              <w:top w:val="nil"/>
              <w:left w:val="single" w:color="auto" w:sz="4" w:space="0"/>
              <w:bottom w:val="single" w:color="auto" w:sz="4" w:space="0"/>
              <w:right w:val="single" w:color="auto" w:sz="4" w:space="0"/>
            </w:tcBorders>
            <w:vAlign w:val="center"/>
          </w:tcPr>
          <w:p>
            <w:pPr>
              <w:rPr>
                <w:bCs/>
                <w:sz w:val="21"/>
                <w:szCs w:val="21"/>
              </w:rPr>
            </w:pPr>
            <w:r>
              <w:rPr>
                <w:rFonts w:hint="eastAsia"/>
                <w:bCs/>
                <w:sz w:val="21"/>
                <w:szCs w:val="21"/>
              </w:rPr>
              <w:t>高清转码器</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sz w:val="21"/>
                <w:szCs w:val="21"/>
              </w:rPr>
            </w:pPr>
            <w:r>
              <w:rPr>
                <w:rFonts w:hint="eastAsia"/>
                <w:sz w:val="21"/>
                <w:szCs w:val="21"/>
              </w:rPr>
              <w:t>转码器机框（含转码处理模块</w:t>
            </w:r>
          </w:p>
        </w:tc>
        <w:tc>
          <w:tcPr>
            <w:tcW w:w="4961" w:type="dxa"/>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Electra X2-G2</w:t>
            </w:r>
          </w:p>
          <w:p>
            <w:pPr>
              <w:pStyle w:val="41"/>
              <w:jc w:val="both"/>
              <w:rPr>
                <w:rFonts w:cs="Times New Roman"/>
                <w:color w:val="auto"/>
                <w:kern w:val="2"/>
                <w:sz w:val="21"/>
                <w:szCs w:val="21"/>
              </w:rPr>
            </w:pPr>
            <w:r>
              <w:rPr>
                <w:rFonts w:hint="eastAsia" w:cs="Times New Roman"/>
                <w:color w:val="auto"/>
                <w:kern w:val="2"/>
                <w:sz w:val="21"/>
                <w:szCs w:val="21"/>
              </w:rPr>
              <w:t>1U机架式配置，双电源。支持4个千兆IP 输入输出口，1个网管接口,支持8套AVS+高清节目转H.264高清节目。</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kern w:val="2"/>
                <w:sz w:val="21"/>
                <w:szCs w:val="21"/>
              </w:rPr>
            </w:pPr>
            <w:r>
              <w:rPr>
                <w:rFonts w:hint="eastAsia"/>
                <w:sz w:val="21"/>
                <w:szCs w:val="21"/>
              </w:rPr>
              <w:t>美国哈雷</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2台</w:t>
            </w:r>
          </w:p>
        </w:tc>
      </w:tr>
      <w:tr>
        <w:trPr>
          <w:cantSplit/>
          <w:trHeight w:val="397" w:hRule="atLeast"/>
          <w:jc w:val="center"/>
        </w:trPr>
        <w:tc>
          <w:tcPr>
            <w:tcW w:w="822"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bCs/>
                <w:kern w:val="2"/>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视频转码授权</w:t>
            </w:r>
          </w:p>
        </w:tc>
        <w:tc>
          <w:tcPr>
            <w:tcW w:w="4961"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FW-ELC-X2-ENC-HD-AVC</w:t>
            </w:r>
          </w:p>
          <w:p>
            <w:pPr>
              <w:rPr>
                <w:sz w:val="21"/>
                <w:szCs w:val="21"/>
              </w:rPr>
            </w:pPr>
            <w:r>
              <w:rPr>
                <w:rFonts w:hint="eastAsia"/>
                <w:sz w:val="21"/>
                <w:szCs w:val="21"/>
              </w:rPr>
              <w:t>支持高清MPEG-2/AVS+节目实时转码为H.264高清/标清输出；H.264格式视频压缩；4:2:0MP@ML，标清输出码率1-15Mbps可调, 4:2:0MP@HL，高清输出码率2-20Mbps可调;高清转码分辨率支持1080i及720P；标清转码支持PAL（576×720）、NTSC（480×720）；每套节目1个视频转码授权。</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美国哈雷</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822"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bCs/>
                <w:kern w:val="2"/>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音频转码授权</w:t>
            </w:r>
          </w:p>
        </w:tc>
        <w:tc>
          <w:tcPr>
            <w:tcW w:w="4961"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FW-ELC-X2-AUD-ENC-MP2-ST</w:t>
            </w:r>
          </w:p>
          <w:p>
            <w:pPr>
              <w:rPr>
                <w:sz w:val="21"/>
                <w:szCs w:val="21"/>
              </w:rPr>
            </w:pPr>
            <w:r>
              <w:rPr>
                <w:rFonts w:hint="eastAsia"/>
                <w:sz w:val="21"/>
                <w:szCs w:val="21"/>
              </w:rPr>
              <w:t>PEG-1 Layer2、AAC，Dolby Digital AC3等音频的直通或再转码功能；支持将一路Dolby Digital AC3转为两路音轨，其中一路透传、另一路转为MPEG-1 Layer2；支持音频码率64K-384Kbps之间可调。</w:t>
            </w:r>
          </w:p>
          <w:p>
            <w:pPr>
              <w:rPr>
                <w:sz w:val="21"/>
                <w:szCs w:val="21"/>
              </w:rPr>
            </w:pPr>
            <w:r>
              <w:rPr>
                <w:rFonts w:hint="eastAsia"/>
                <w:sz w:val="21"/>
                <w:szCs w:val="21"/>
              </w:rPr>
              <w:t>每套节目1个音频转码授权。</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美国哈雷</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11套</w:t>
            </w:r>
          </w:p>
        </w:tc>
      </w:tr>
      <w:tr>
        <w:trPr>
          <w:cantSplit/>
          <w:trHeight w:val="397"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5</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BHC2000 2RU 工业机箱工业机箱</w:t>
            </w:r>
          </w:p>
        </w:tc>
        <w:tc>
          <w:tcPr>
            <w:tcW w:w="4961" w:type="dxa"/>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每台2U嵌入式机箱可混插4块各类板卡，板卡为横插式、后装载、可热插拔。</w:t>
            </w:r>
            <w:r>
              <w:rPr>
                <w:rFonts w:hint="eastAsia"/>
                <w:sz w:val="21"/>
                <w:szCs w:val="21"/>
              </w:rPr>
              <w:br w:type="textWrapping"/>
            </w:r>
            <w:r>
              <w:rPr>
                <w:rFonts w:hint="eastAsia"/>
                <w:sz w:val="21"/>
                <w:szCs w:val="21"/>
              </w:rPr>
              <w:t>机箱由BHP1000冗余热备份电源直流供电，实现与交流电源模块的隔离，同时有效防止了电源发热和设备发热的相互影响；这种供电方式广泛使用于专业电信机房，有效提高了设备的供电可靠性和稳定性。</w:t>
            </w:r>
            <w:r>
              <w:rPr>
                <w:rFonts w:hint="eastAsia"/>
                <w:sz w:val="21"/>
                <w:szCs w:val="21"/>
              </w:rPr>
              <w:br w:type="textWrapping"/>
            </w:r>
            <w:r>
              <w:rPr>
                <w:rFonts w:hint="eastAsia"/>
                <w:sz w:val="21"/>
                <w:szCs w:val="21"/>
              </w:rPr>
              <w:t>机箱侧边内置变速风扇，自动监测温度来控制风扇转速，延长风扇寿命，降低噪音。</w:t>
            </w:r>
            <w:r>
              <w:rPr>
                <w:rFonts w:hint="eastAsia"/>
                <w:sz w:val="21"/>
                <w:szCs w:val="21"/>
              </w:rPr>
              <w:br w:type="textWrapping"/>
            </w:r>
            <w:r>
              <w:rPr>
                <w:rFonts w:hint="eastAsia"/>
                <w:sz w:val="21"/>
                <w:szCs w:val="21"/>
              </w:rPr>
              <w:t>机箱前面板提供电源和风扇工作状态指示。</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北京博汇</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6</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bCs/>
                <w:sz w:val="21"/>
                <w:szCs w:val="21"/>
              </w:rPr>
            </w:pPr>
            <w:r>
              <w:rPr>
                <w:rFonts w:hint="eastAsia"/>
                <w:sz w:val="21"/>
                <w:szCs w:val="21"/>
              </w:rPr>
              <w:t>BHP1000冗余热备份电源</w:t>
            </w:r>
          </w:p>
        </w:tc>
        <w:tc>
          <w:tcPr>
            <w:tcW w:w="4961" w:type="dxa"/>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BHP1000 冗余热备份电源，自动均衡负载，后装载、可热插拔。</w:t>
            </w:r>
            <w:r>
              <w:rPr>
                <w:rFonts w:hint="eastAsia"/>
                <w:sz w:val="21"/>
                <w:szCs w:val="21"/>
              </w:rPr>
              <w:br w:type="textWrapping"/>
            </w:r>
            <w:r>
              <w:rPr>
                <w:rFonts w:hint="eastAsia"/>
                <w:sz w:val="21"/>
                <w:szCs w:val="21"/>
              </w:rPr>
              <w:t>提供多至3路完全并联的12V直流输出，与采用直流电源输入接口的BHC2000嵌入式机箱配合使用，提供高可靠性的电源。</w:t>
            </w:r>
            <w:r>
              <w:rPr>
                <w:rFonts w:hint="eastAsia"/>
                <w:sz w:val="21"/>
                <w:szCs w:val="21"/>
              </w:rPr>
              <w:br w:type="textWrapping"/>
            </w:r>
            <w:r>
              <w:rPr>
                <w:rFonts w:hint="eastAsia"/>
                <w:sz w:val="21"/>
                <w:szCs w:val="21"/>
              </w:rPr>
              <w:t>散热性能好，与用电设备实行了隔离，有效防止了电源发热和设备发热的相互影响，提高了稳定性和可靠性。</w:t>
            </w:r>
            <w:r>
              <w:rPr>
                <w:rFonts w:hint="eastAsia"/>
                <w:sz w:val="21"/>
                <w:szCs w:val="21"/>
              </w:rPr>
              <w:br w:type="textWrapping"/>
            </w:r>
            <w:r>
              <w:rPr>
                <w:rFonts w:hint="eastAsia"/>
                <w:sz w:val="21"/>
                <w:szCs w:val="21"/>
              </w:rPr>
              <w:t>具备过温、过压、过流及短路保护功能。</w:t>
            </w:r>
            <w:r>
              <w:rPr>
                <w:rFonts w:hint="eastAsia"/>
                <w:sz w:val="21"/>
                <w:szCs w:val="21"/>
              </w:rPr>
              <w:br w:type="textWrapping"/>
            </w:r>
            <w:r>
              <w:rPr>
                <w:rFonts w:hint="eastAsia"/>
                <w:sz w:val="21"/>
                <w:szCs w:val="21"/>
              </w:rPr>
              <w:t>机箱面板提供电源和风扇工作状态指示。</w:t>
            </w:r>
          </w:p>
          <w:p>
            <w:pPr>
              <w:rPr>
                <w:sz w:val="21"/>
                <w:szCs w:val="21"/>
              </w:rPr>
            </w:pPr>
            <w:r>
              <w:rPr>
                <w:rFonts w:hint="eastAsia"/>
                <w:sz w:val="21"/>
                <w:szCs w:val="21"/>
              </w:rPr>
              <w:t>BHP1000 电源模块，单个150W电源模块，可热插拔。</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北京博汇</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822" w:type="dxa"/>
            <w:vMerge w:val="restart"/>
            <w:tcBorders>
              <w:top w:val="nil"/>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7</w:t>
            </w:r>
          </w:p>
        </w:tc>
        <w:tc>
          <w:tcPr>
            <w:tcW w:w="567" w:type="dxa"/>
            <w:vMerge w:val="restart"/>
            <w:tcBorders>
              <w:top w:val="nil"/>
              <w:left w:val="single" w:color="auto" w:sz="4" w:space="0"/>
              <w:bottom w:val="single" w:color="auto" w:sz="4" w:space="0"/>
              <w:right w:val="single" w:color="auto" w:sz="4" w:space="0"/>
            </w:tcBorders>
            <w:vAlign w:val="center"/>
          </w:tcPr>
          <w:p>
            <w:pPr>
              <w:pStyle w:val="41"/>
              <w:jc w:val="both"/>
              <w:rPr>
                <w:rFonts w:cs="Times New Roman"/>
                <w:bCs/>
                <w:color w:val="auto"/>
                <w:sz w:val="21"/>
                <w:szCs w:val="21"/>
              </w:rPr>
            </w:pPr>
            <w:r>
              <w:rPr>
                <w:rFonts w:hint="eastAsia" w:cs="Times New Roman"/>
                <w:bCs/>
                <w:color w:val="auto"/>
                <w:sz w:val="21"/>
                <w:szCs w:val="21"/>
              </w:rPr>
              <w:t>卫星防非监测系统</w:t>
            </w:r>
          </w:p>
        </w:tc>
        <w:tc>
          <w:tcPr>
            <w:tcW w:w="1134" w:type="dxa"/>
            <w:tcBorders>
              <w:top w:val="single" w:color="auto" w:sz="4" w:space="0"/>
              <w:left w:val="single" w:color="auto" w:sz="4" w:space="0"/>
              <w:bottom w:val="single" w:color="auto" w:sz="4" w:space="0"/>
              <w:right w:val="single" w:color="auto" w:sz="4" w:space="0"/>
            </w:tcBorders>
            <w:vAlign w:val="center"/>
          </w:tcPr>
          <w:p>
            <w:pPr>
              <w:pStyle w:val="41"/>
              <w:jc w:val="both"/>
              <w:rPr>
                <w:rFonts w:cs="Times New Roman"/>
                <w:bCs/>
                <w:color w:val="auto"/>
                <w:sz w:val="21"/>
                <w:szCs w:val="21"/>
              </w:rPr>
            </w:pPr>
            <w:r>
              <w:rPr>
                <w:rFonts w:hint="eastAsia" w:cs="Times New Roman"/>
                <w:color w:val="auto"/>
                <w:sz w:val="21"/>
                <w:szCs w:val="21"/>
              </w:rPr>
              <w:t>BHQP41卫星数字电视信号监测</w:t>
            </w:r>
          </w:p>
        </w:tc>
        <w:tc>
          <w:tcPr>
            <w:tcW w:w="4961" w:type="dxa"/>
            <w:tcBorders>
              <w:top w:val="single" w:color="auto" w:sz="4" w:space="0"/>
              <w:left w:val="single" w:color="auto" w:sz="4" w:space="0"/>
              <w:bottom w:val="single" w:color="auto" w:sz="4" w:space="0"/>
              <w:right w:val="single" w:color="auto" w:sz="4" w:space="0"/>
            </w:tcBorders>
          </w:tcPr>
          <w:p>
            <w:pPr>
              <w:rPr>
                <w:rFonts w:cs="Times New Roman"/>
                <w:sz w:val="21"/>
                <w:szCs w:val="21"/>
              </w:rPr>
            </w:pPr>
            <w:r>
              <w:rPr>
                <w:rFonts w:hint="eastAsia"/>
                <w:sz w:val="21"/>
                <w:szCs w:val="21"/>
              </w:rPr>
              <w:t>BHQP41用于卫星数字电视信号监测。板卡主要完成1~8路卫星数字电视信号接收、信道参数监测、码流分析、码流TS over IP输出功能，并增加了对DVB_S2信号接收及盲扫功能的支持。</w:t>
            </w:r>
            <w:r>
              <w:rPr>
                <w:rFonts w:hint="eastAsia"/>
                <w:sz w:val="21"/>
                <w:szCs w:val="21"/>
              </w:rPr>
              <w:br w:type="textWrapping"/>
            </w:r>
            <w:r>
              <w:rPr>
                <w:rFonts w:hint="eastAsia"/>
                <w:sz w:val="21"/>
                <w:szCs w:val="21"/>
              </w:rPr>
              <w:t>板卡可监测的信道指标有：射频信号的锁定状态、载波电平、载噪比（C/N）、Eb/N0、BER（维特比纠错前）、符码率偏移、频点偏移；同时对解调输出的TS流进行TR101 290三级码流错误监测及告警；并将TS流打包成IP流输出。</w:t>
            </w:r>
            <w:r>
              <w:rPr>
                <w:rFonts w:hint="eastAsia"/>
                <w:sz w:val="21"/>
                <w:szCs w:val="21"/>
              </w:rPr>
              <w:br w:type="textWrapping"/>
            </w:r>
            <w:r>
              <w:rPr>
                <w:rFonts w:hint="eastAsia"/>
                <w:sz w:val="21"/>
                <w:szCs w:val="21"/>
              </w:rPr>
              <w:t>BHQP41同时集成了成熟的防范非法攻击功能，可完成准确的非法攻击及雨雪衰降判断，并同时完成备用信号切换、及手动恢复控制。</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北京博汇</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9块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822"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bCs/>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41"/>
              <w:jc w:val="both"/>
              <w:rPr>
                <w:rFonts w:cs="Times New Roman"/>
                <w:bCs/>
                <w:color w:val="auto"/>
                <w:sz w:val="21"/>
                <w:szCs w:val="21"/>
              </w:rPr>
            </w:pPr>
            <w:r>
              <w:rPr>
                <w:rFonts w:hint="eastAsia" w:cs="Times New Roman"/>
                <w:color w:val="auto"/>
                <w:sz w:val="21"/>
                <w:szCs w:val="21"/>
              </w:rPr>
              <w:t>TrinityAres-SignalEye码流分析系统</w:t>
            </w:r>
          </w:p>
        </w:tc>
        <w:tc>
          <w:tcPr>
            <w:tcW w:w="4961" w:type="dxa"/>
            <w:tcBorders>
              <w:top w:val="single" w:color="auto" w:sz="4" w:space="0"/>
              <w:left w:val="single" w:color="auto" w:sz="4" w:space="0"/>
              <w:bottom w:val="single" w:color="auto" w:sz="4" w:space="0"/>
              <w:right w:val="single" w:color="auto" w:sz="4" w:space="0"/>
            </w:tcBorders>
          </w:tcPr>
          <w:p>
            <w:pPr>
              <w:rPr>
                <w:rFonts w:cs="Times New Roman"/>
                <w:sz w:val="21"/>
                <w:szCs w:val="21"/>
              </w:rPr>
            </w:pPr>
            <w:r>
              <w:rPr>
                <w:rFonts w:hint="eastAsia"/>
                <w:sz w:val="21"/>
                <w:szCs w:val="21"/>
              </w:rPr>
              <w:t>安装于1U主机。</w:t>
            </w:r>
            <w:r>
              <w:rPr>
                <w:rFonts w:hint="eastAsia"/>
                <w:sz w:val="21"/>
                <w:szCs w:val="21"/>
              </w:rPr>
              <w:br w:type="textWrapping"/>
            </w:r>
            <w:r>
              <w:rPr>
                <w:rFonts w:hint="eastAsia"/>
                <w:sz w:val="21"/>
                <w:szCs w:val="21"/>
              </w:rPr>
              <w:t>TrinityAres-IPSwitch  IP码流切换系统，适用于IPTV播控平台或其他IP网络化机房IP码流的应急切换，针对播出机房可能遇到的编码器故障、交换机故障、卫星转发器故障、卫星接收机故障等信源或传输链路故障提供专门的解决方案。</w:t>
            </w:r>
            <w:r>
              <w:rPr>
                <w:rFonts w:hint="eastAsia"/>
                <w:sz w:val="21"/>
                <w:szCs w:val="21"/>
              </w:rPr>
              <w:br w:type="textWrapping"/>
            </w:r>
            <w:r>
              <w:rPr>
                <w:rFonts w:hint="eastAsia"/>
                <w:sz w:val="21"/>
                <w:szCs w:val="21"/>
              </w:rPr>
              <w:t>1U主机具体配置：Intel I7-4790 CPU/8G内存/1TB硬盘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北京博汇</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1台</w:t>
            </w:r>
          </w:p>
        </w:tc>
      </w:tr>
      <w:tr>
        <w:trPr>
          <w:cantSplit/>
          <w:trHeight w:val="397" w:hRule="atLeast"/>
          <w:jc w:val="center"/>
        </w:trPr>
        <w:tc>
          <w:tcPr>
            <w:tcW w:w="822" w:type="dxa"/>
            <w:vMerge w:val="restart"/>
            <w:tcBorders>
              <w:top w:val="nil"/>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8</w:t>
            </w:r>
          </w:p>
        </w:tc>
        <w:tc>
          <w:tcPr>
            <w:tcW w:w="567" w:type="dxa"/>
            <w:vMerge w:val="restart"/>
            <w:tcBorders>
              <w:top w:val="nil"/>
              <w:left w:val="single" w:color="auto" w:sz="4" w:space="0"/>
              <w:bottom w:val="single" w:color="auto" w:sz="4" w:space="0"/>
              <w:right w:val="single" w:color="auto" w:sz="4" w:space="0"/>
            </w:tcBorders>
            <w:vAlign w:val="center"/>
          </w:tcPr>
          <w:p>
            <w:pPr>
              <w:pStyle w:val="41"/>
              <w:jc w:val="both"/>
              <w:rPr>
                <w:rFonts w:cs="Times New Roman"/>
                <w:color w:val="auto"/>
                <w:sz w:val="21"/>
                <w:szCs w:val="21"/>
              </w:rPr>
            </w:pPr>
            <w:r>
              <w:rPr>
                <w:rFonts w:hint="eastAsia" w:cs="Times New Roman"/>
                <w:color w:val="auto"/>
                <w:sz w:val="21"/>
                <w:szCs w:val="21"/>
              </w:rPr>
              <w:t>IP码流切换系统</w:t>
            </w:r>
          </w:p>
        </w:tc>
        <w:tc>
          <w:tcPr>
            <w:tcW w:w="1134" w:type="dxa"/>
            <w:tcBorders>
              <w:top w:val="single" w:color="auto" w:sz="4" w:space="0"/>
              <w:left w:val="single" w:color="auto" w:sz="4" w:space="0"/>
              <w:bottom w:val="single" w:color="auto" w:sz="4" w:space="0"/>
              <w:right w:val="single" w:color="auto" w:sz="4" w:space="0"/>
            </w:tcBorders>
            <w:vAlign w:val="center"/>
          </w:tcPr>
          <w:p>
            <w:pPr>
              <w:pStyle w:val="41"/>
              <w:jc w:val="both"/>
              <w:rPr>
                <w:rFonts w:cs="Times New Roman"/>
                <w:color w:val="auto"/>
                <w:sz w:val="21"/>
                <w:szCs w:val="21"/>
              </w:rPr>
            </w:pPr>
            <w:r>
              <w:rPr>
                <w:rFonts w:hint="eastAsia" w:cs="Times New Roman"/>
                <w:color w:val="auto"/>
                <w:sz w:val="21"/>
                <w:szCs w:val="21"/>
              </w:rPr>
              <w:t>BHIP47多通道IP码流主备切换卡</w:t>
            </w:r>
          </w:p>
        </w:tc>
        <w:tc>
          <w:tcPr>
            <w:tcW w:w="4961" w:type="dxa"/>
            <w:tcBorders>
              <w:top w:val="single" w:color="auto" w:sz="4" w:space="0"/>
              <w:left w:val="single" w:color="auto" w:sz="4" w:space="0"/>
              <w:bottom w:val="single" w:color="auto" w:sz="4" w:space="0"/>
              <w:right w:val="single" w:color="auto" w:sz="4" w:space="0"/>
            </w:tcBorders>
          </w:tcPr>
          <w:p>
            <w:pPr>
              <w:rPr>
                <w:rFonts w:cs="Times New Roman"/>
                <w:sz w:val="21"/>
                <w:szCs w:val="21"/>
              </w:rPr>
            </w:pPr>
            <w:r>
              <w:rPr>
                <w:rFonts w:hint="eastAsia"/>
                <w:sz w:val="21"/>
                <w:szCs w:val="21"/>
              </w:rPr>
              <w:t>每个处理模块支持1~255路IP主、备、辅码流的故障自动切换。通过TrinityAres-IPSwitchIP码流切换系统，完成手动切换。板卡可选支持主路网口断电直通功能。板卡可通过WEB页面设置各组播流的组播地址及端口，支持批量下发。具有看门狗。板卡自带温度传感器。板卡支持热插拔。</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北京博汇</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2块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822"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rPr>
                <w:bCs/>
                <w:sz w:val="21"/>
                <w:szCs w:val="21"/>
              </w:rPr>
            </w:pPr>
            <w:r>
              <w:rPr>
                <w:rFonts w:hint="eastAsia"/>
                <w:sz w:val="21"/>
                <w:szCs w:val="21"/>
              </w:rPr>
              <w:t>TrinityAres-IP-Swith码流切换软件</w:t>
            </w:r>
          </w:p>
        </w:tc>
        <w:tc>
          <w:tcPr>
            <w:tcW w:w="4961" w:type="dxa"/>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安装于1U主机。</w:t>
            </w:r>
            <w:r>
              <w:rPr>
                <w:rFonts w:hint="eastAsia"/>
                <w:sz w:val="21"/>
                <w:szCs w:val="21"/>
              </w:rPr>
              <w:br w:type="textWrapping"/>
            </w:r>
            <w:r>
              <w:rPr>
                <w:rFonts w:hint="eastAsia"/>
                <w:sz w:val="21"/>
                <w:szCs w:val="21"/>
              </w:rPr>
              <w:t>TrinityAres-IPSwitch  IP码流切换系统，适用于IPTV播控平台或其他IP网络化机房IP码流的应急切换，针对播出机房可能遇到的编码器故障、交换机故障、卫星转发器故障、卫星接收机故障等信源或传输链路故障提供专门的解决方案。</w:t>
            </w:r>
            <w:r>
              <w:rPr>
                <w:rFonts w:hint="eastAsia"/>
                <w:sz w:val="21"/>
                <w:szCs w:val="21"/>
              </w:rPr>
              <w:br w:type="textWrapping"/>
            </w:r>
            <w:r>
              <w:rPr>
                <w:rFonts w:hint="eastAsia"/>
                <w:sz w:val="21"/>
                <w:szCs w:val="21"/>
              </w:rPr>
              <w:t>1U主机具体配置：Intel I7-4790 CPU/8G内存/1TB硬盘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北京博汇</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1台</w:t>
            </w:r>
          </w:p>
        </w:tc>
      </w:tr>
      <w:tr>
        <w:trPr>
          <w:cantSplit/>
          <w:trHeight w:val="397" w:hRule="atLeast"/>
          <w:jc w:val="center"/>
        </w:trPr>
        <w:tc>
          <w:tcPr>
            <w:tcW w:w="822" w:type="dxa"/>
            <w:vMerge w:val="restart"/>
            <w:tcBorders>
              <w:top w:val="nil"/>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9</w:t>
            </w:r>
          </w:p>
        </w:tc>
        <w:tc>
          <w:tcPr>
            <w:tcW w:w="567" w:type="dxa"/>
            <w:vMerge w:val="restart"/>
            <w:tcBorders>
              <w:top w:val="nil"/>
              <w:left w:val="single" w:color="auto" w:sz="4" w:space="0"/>
              <w:bottom w:val="single" w:color="auto" w:sz="4" w:space="0"/>
              <w:right w:val="single" w:color="auto" w:sz="4" w:space="0"/>
            </w:tcBorders>
            <w:vAlign w:val="center"/>
          </w:tcPr>
          <w:p>
            <w:pPr>
              <w:rPr>
                <w:bCs/>
                <w:sz w:val="21"/>
                <w:szCs w:val="21"/>
              </w:rPr>
            </w:pPr>
            <w:r>
              <w:rPr>
                <w:rFonts w:hint="eastAsia"/>
                <w:bCs/>
                <w:sz w:val="21"/>
                <w:szCs w:val="21"/>
              </w:rPr>
              <w:t>码流垫播系统</w:t>
            </w:r>
          </w:p>
        </w:tc>
        <w:tc>
          <w:tcPr>
            <w:tcW w:w="1134" w:type="dxa"/>
            <w:tcBorders>
              <w:top w:val="single" w:color="auto" w:sz="4" w:space="0"/>
              <w:left w:val="single" w:color="auto" w:sz="4" w:space="0"/>
              <w:bottom w:val="single" w:color="auto" w:sz="4" w:space="0"/>
              <w:right w:val="single" w:color="auto" w:sz="4" w:space="0"/>
            </w:tcBorders>
            <w:vAlign w:val="center"/>
          </w:tcPr>
          <w:p>
            <w:pPr>
              <w:pStyle w:val="41"/>
              <w:jc w:val="both"/>
              <w:rPr>
                <w:rFonts w:cs="Times New Roman"/>
                <w:bCs/>
                <w:color w:val="auto"/>
                <w:sz w:val="21"/>
                <w:szCs w:val="21"/>
              </w:rPr>
            </w:pPr>
            <w:r>
              <w:rPr>
                <w:rFonts w:hint="eastAsia" w:cs="Times New Roman"/>
                <w:color w:val="auto"/>
                <w:sz w:val="21"/>
                <w:szCs w:val="21"/>
              </w:rPr>
              <w:t>BHPS69 码流垫播系统</w:t>
            </w:r>
          </w:p>
        </w:tc>
        <w:tc>
          <w:tcPr>
            <w:tcW w:w="4961" w:type="dxa"/>
            <w:tcBorders>
              <w:top w:val="single" w:color="auto" w:sz="4" w:space="0"/>
              <w:left w:val="single" w:color="auto" w:sz="4" w:space="0"/>
              <w:bottom w:val="single" w:color="auto" w:sz="4" w:space="0"/>
              <w:right w:val="single" w:color="auto" w:sz="4" w:space="0"/>
            </w:tcBorders>
          </w:tcPr>
          <w:p>
            <w:pPr>
              <w:pStyle w:val="41"/>
              <w:jc w:val="both"/>
              <w:rPr>
                <w:rFonts w:cs="Times New Roman"/>
                <w:color w:val="auto"/>
                <w:sz w:val="21"/>
                <w:szCs w:val="21"/>
              </w:rPr>
            </w:pPr>
            <w:r>
              <w:rPr>
                <w:rFonts w:hint="eastAsia" w:cs="Times New Roman"/>
                <w:color w:val="auto"/>
                <w:sz w:val="21"/>
                <w:szCs w:val="21"/>
              </w:rPr>
              <w:t>本产品可以支持对原始码流的探测和表格获取；支持上载垫播素材，并对垫播素材进行管理；支持原始流与垫播素材进行自动匹配，最大支持800Mbps带宽的码流垫播输出</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sz w:val="21"/>
                <w:szCs w:val="21"/>
              </w:rPr>
            </w:pPr>
            <w:r>
              <w:rPr>
                <w:rFonts w:hint="eastAsia"/>
                <w:sz w:val="21"/>
                <w:szCs w:val="21"/>
              </w:rPr>
              <w:t>北京博汇</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1台</w:t>
            </w:r>
          </w:p>
        </w:tc>
      </w:tr>
      <w:tr>
        <w:trPr>
          <w:cantSplit/>
          <w:trHeight w:val="397" w:hRule="atLeast"/>
          <w:jc w:val="center"/>
        </w:trPr>
        <w:tc>
          <w:tcPr>
            <w:tcW w:w="822"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1701" w:type="dxa"/>
            <w:vMerge w:val="continue"/>
            <w:tcBorders>
              <w:top w:val="nil"/>
              <w:left w:val="single" w:color="auto" w:sz="4" w:space="0"/>
              <w:bottom w:val="single" w:color="auto" w:sz="4" w:space="0"/>
              <w:right w:val="single" w:color="auto" w:sz="4" w:space="0"/>
            </w:tcBorders>
            <w:vAlign w:val="center"/>
          </w:tcPr>
          <w:p>
            <w:pPr>
              <w:widowControl/>
              <w:rPr>
                <w:rFonts w:cs="Times New Roman"/>
                <w:bCs/>
                <w:kern w:val="2"/>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41"/>
              <w:jc w:val="both"/>
              <w:rPr>
                <w:rFonts w:cs="Times New Roman"/>
                <w:bCs/>
                <w:color w:val="auto"/>
                <w:sz w:val="21"/>
                <w:szCs w:val="21"/>
              </w:rPr>
            </w:pPr>
            <w:r>
              <w:rPr>
                <w:rFonts w:hint="eastAsia" w:cs="Times New Roman"/>
                <w:color w:val="auto"/>
                <w:sz w:val="21"/>
                <w:szCs w:val="21"/>
              </w:rPr>
              <w:t>BHC3000 1U嵌入式机箱</w:t>
            </w:r>
          </w:p>
        </w:tc>
        <w:tc>
          <w:tcPr>
            <w:tcW w:w="4961" w:type="dxa"/>
            <w:tcBorders>
              <w:top w:val="single" w:color="auto" w:sz="4" w:space="0"/>
              <w:left w:val="single" w:color="auto" w:sz="4" w:space="0"/>
              <w:bottom w:val="single" w:color="auto" w:sz="4" w:space="0"/>
              <w:right w:val="single" w:color="auto" w:sz="4" w:space="0"/>
            </w:tcBorders>
          </w:tcPr>
          <w:p>
            <w:pPr>
              <w:pStyle w:val="41"/>
              <w:jc w:val="both"/>
              <w:rPr>
                <w:rFonts w:cs="Times New Roman"/>
                <w:color w:val="auto"/>
                <w:sz w:val="21"/>
                <w:szCs w:val="21"/>
              </w:rPr>
            </w:pPr>
            <w:r>
              <w:rPr>
                <w:rFonts w:hint="eastAsia" w:cs="Times New Roman"/>
                <w:color w:val="auto"/>
                <w:sz w:val="21"/>
                <w:szCs w:val="21"/>
              </w:rPr>
              <w:t>BHC3000 1U 嵌入式机箱，背板兼容CPCI 2.0标准，采用前后对插式设计，结构紧凑，布局合理，监测模块和电源模块均支持热插拔。 低功耗设计，可根据使用条件的不同，分为直流或交流供电可选，稳定性高。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sz w:val="21"/>
                <w:szCs w:val="21"/>
              </w:rPr>
            </w:pPr>
            <w:r>
              <w:rPr>
                <w:rFonts w:hint="eastAsia"/>
                <w:sz w:val="21"/>
                <w:szCs w:val="21"/>
              </w:rPr>
              <w:t>北京博汇</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1台</w:t>
            </w:r>
          </w:p>
        </w:tc>
      </w:tr>
      <w:tr>
        <w:trPr>
          <w:cantSplit/>
          <w:trHeight w:val="397"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10</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bCs/>
                <w:sz w:val="21"/>
                <w:szCs w:val="21"/>
              </w:rPr>
            </w:pPr>
            <w:r>
              <w:rPr>
                <w:rFonts w:hint="eastAsia"/>
                <w:sz w:val="21"/>
                <w:szCs w:val="21"/>
              </w:rPr>
              <w:t>TrinityAres-Display多画面显示监测报警系统</w:t>
            </w:r>
          </w:p>
        </w:tc>
        <w:tc>
          <w:tcPr>
            <w:tcW w:w="4961" w:type="dxa"/>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采用1U专用主机（定制）</w:t>
            </w:r>
            <w:r>
              <w:rPr>
                <w:rFonts w:hint="eastAsia"/>
                <w:sz w:val="21"/>
                <w:szCs w:val="21"/>
              </w:rPr>
              <w:br w:type="textWrapping"/>
            </w:r>
            <w:r>
              <w:rPr>
                <w:rFonts w:hint="eastAsia"/>
                <w:sz w:val="21"/>
                <w:szCs w:val="21"/>
              </w:rPr>
              <w:t>TrinityAres-Display  多画面显示监测报警系统 V6.5</w:t>
            </w:r>
            <w:r>
              <w:rPr>
                <w:rFonts w:hint="eastAsia"/>
                <w:sz w:val="21"/>
                <w:szCs w:val="21"/>
              </w:rPr>
              <w:br w:type="textWrapping"/>
            </w:r>
            <w:r>
              <w:rPr>
                <w:rFonts w:hint="eastAsia"/>
                <w:sz w:val="21"/>
                <w:szCs w:val="21"/>
              </w:rPr>
              <w:t>VoiceAlarmServer 语音报警系统软件</w:t>
            </w:r>
            <w:r>
              <w:rPr>
                <w:rFonts w:hint="eastAsia"/>
                <w:sz w:val="21"/>
                <w:szCs w:val="21"/>
              </w:rPr>
              <w:br w:type="textWrapping"/>
            </w:r>
            <w:r>
              <w:rPr>
                <w:rFonts w:hint="eastAsia"/>
                <w:sz w:val="21"/>
                <w:szCs w:val="21"/>
              </w:rPr>
              <w:t>多格式高标清节目解码：支持MPEG-2、MPEG-4、H.264、H.265、AVS、AVS+的高标清视频解码；支持MP2、MP3、AC3、AAC、DRA的音频解码。每套系统可以并行处理多路MPEG-2高清节目、多路H.264高清节目、多路AVS+高清节目。支持5.1声道伴音的解码、监听、彩色音量柱显示。对于立体声节目，支持左右声道分别监听。支持3D电视频道的监看、监测与录像。</w:t>
            </w:r>
            <w:r>
              <w:rPr>
                <w:rFonts w:hint="eastAsia"/>
                <w:sz w:val="21"/>
                <w:szCs w:val="21"/>
              </w:rPr>
              <w:br w:type="textWrapping"/>
            </w:r>
            <w:r>
              <w:rPr>
                <w:rFonts w:hint="eastAsia"/>
                <w:sz w:val="21"/>
                <w:szCs w:val="21"/>
              </w:rPr>
              <w:t>准确的视音频内容监测：支持黑场、静帧、视频丢失、视频解码异常、彩场、彩条、台标丢失等视频故障监测，音频丢失、音量过高、音量过低等音频故障监测。对于视频故障，可以精确到帧监测，并可指定监测区域，能对马赛克进行监测；对于音频故障，能准确识别正常伴音丢失后的杂音，区分单声道、双声道与立体声监测。</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kern w:val="2"/>
                <w:sz w:val="21"/>
                <w:szCs w:val="21"/>
              </w:rPr>
            </w:pPr>
            <w:r>
              <w:rPr>
                <w:rFonts w:hint="eastAsia"/>
                <w:sz w:val="21"/>
                <w:szCs w:val="21"/>
              </w:rPr>
              <w:t>北京博汇</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4台</w:t>
            </w:r>
          </w:p>
        </w:tc>
      </w:tr>
      <w:tr>
        <w:trPr>
          <w:cantSplit/>
          <w:trHeight w:val="397" w:hRule="atLeast"/>
          <w:jc w:val="center"/>
        </w:trPr>
        <w:tc>
          <w:tcPr>
            <w:tcW w:w="822" w:type="dxa"/>
            <w:vMerge w:val="restart"/>
            <w:tcBorders>
              <w:top w:val="nil"/>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11</w:t>
            </w:r>
          </w:p>
        </w:tc>
        <w:tc>
          <w:tcPr>
            <w:tcW w:w="1701" w:type="dxa"/>
            <w:gridSpan w:val="2"/>
            <w:vMerge w:val="restart"/>
            <w:tcBorders>
              <w:top w:val="nil"/>
              <w:left w:val="single" w:color="auto" w:sz="4" w:space="0"/>
              <w:bottom w:val="single" w:color="auto" w:sz="4" w:space="0"/>
              <w:right w:val="single" w:color="auto" w:sz="4" w:space="0"/>
            </w:tcBorders>
            <w:vAlign w:val="center"/>
          </w:tcPr>
          <w:p>
            <w:pPr>
              <w:rPr>
                <w:bCs/>
                <w:sz w:val="21"/>
                <w:szCs w:val="21"/>
              </w:rPr>
            </w:pPr>
            <w:r>
              <w:rPr>
                <w:rFonts w:hint="eastAsia"/>
                <w:bCs/>
                <w:sz w:val="21"/>
                <w:szCs w:val="21"/>
              </w:rPr>
              <w:t>系统配套设备</w:t>
            </w:r>
          </w:p>
        </w:tc>
        <w:tc>
          <w:tcPr>
            <w:tcW w:w="4961" w:type="dxa"/>
            <w:tcBorders>
              <w:top w:val="single" w:color="auto" w:sz="4" w:space="0"/>
              <w:left w:val="single" w:color="auto" w:sz="4" w:space="0"/>
              <w:bottom w:val="single" w:color="auto" w:sz="4" w:space="0"/>
              <w:right w:val="single" w:color="auto" w:sz="4" w:space="0"/>
            </w:tcBorders>
          </w:tcPr>
          <w:p>
            <w:pPr>
              <w:pStyle w:val="41"/>
              <w:jc w:val="both"/>
              <w:rPr>
                <w:rFonts w:cs="Times New Roman"/>
                <w:color w:val="auto"/>
                <w:sz w:val="21"/>
                <w:szCs w:val="21"/>
              </w:rPr>
            </w:pPr>
            <w:r>
              <w:rPr>
                <w:rFonts w:hint="eastAsia" w:cs="Times New Roman"/>
                <w:color w:val="auto"/>
                <w:sz w:val="21"/>
                <w:szCs w:val="21"/>
              </w:rPr>
              <w:t>功分器</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sz w:val="21"/>
                <w:szCs w:val="21"/>
              </w:rPr>
            </w:pPr>
            <w:r>
              <w:rPr>
                <w:rFonts w:hint="eastAsia"/>
                <w:sz w:val="21"/>
                <w:szCs w:val="21"/>
              </w:rPr>
              <w:t>PBI</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10台</w:t>
            </w:r>
          </w:p>
        </w:tc>
      </w:tr>
      <w:tr>
        <w:trPr>
          <w:cantSplit/>
          <w:trHeight w:val="397" w:hRule="atLeast"/>
          <w:jc w:val="center"/>
        </w:trPr>
        <w:tc>
          <w:tcPr>
            <w:tcW w:w="822"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2835" w:type="dxa"/>
            <w:gridSpan w:val="2"/>
            <w:vMerge w:val="continue"/>
            <w:tcBorders>
              <w:top w:val="nil"/>
              <w:left w:val="single" w:color="auto" w:sz="4" w:space="0"/>
              <w:bottom w:val="single" w:color="auto" w:sz="4" w:space="0"/>
              <w:right w:val="single" w:color="auto" w:sz="4" w:space="0"/>
            </w:tcBorders>
            <w:vAlign w:val="center"/>
          </w:tcPr>
          <w:p>
            <w:pPr>
              <w:widowControl/>
              <w:rPr>
                <w:rFonts w:cs="Times New Roman"/>
                <w:bCs/>
                <w:kern w:val="2"/>
                <w:sz w:val="21"/>
                <w:szCs w:val="21"/>
              </w:rPr>
            </w:pPr>
          </w:p>
        </w:tc>
        <w:tc>
          <w:tcPr>
            <w:tcW w:w="4961" w:type="dxa"/>
            <w:tcBorders>
              <w:top w:val="single" w:color="auto" w:sz="4" w:space="0"/>
              <w:left w:val="single" w:color="auto" w:sz="4" w:space="0"/>
              <w:bottom w:val="single" w:color="auto" w:sz="4" w:space="0"/>
              <w:right w:val="single" w:color="auto" w:sz="4" w:space="0"/>
            </w:tcBorders>
          </w:tcPr>
          <w:p>
            <w:pPr>
              <w:pStyle w:val="41"/>
              <w:jc w:val="both"/>
              <w:rPr>
                <w:rFonts w:cs="Times New Roman"/>
                <w:color w:val="auto"/>
                <w:sz w:val="21"/>
                <w:szCs w:val="21"/>
              </w:rPr>
            </w:pPr>
            <w:r>
              <w:rPr>
                <w:rFonts w:hint="eastAsia" w:cs="Times New Roman"/>
                <w:color w:val="auto"/>
                <w:sz w:val="21"/>
                <w:szCs w:val="21"/>
              </w:rPr>
              <w:t>键盘、鼠标、2 0寸液晶显示器用于多台监测主机的操作切换，共享1套键盘、鼠标、显示器、</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sz w:val="21"/>
                <w:szCs w:val="21"/>
              </w:rPr>
            </w:pPr>
            <w:r>
              <w:rPr>
                <w:rFonts w:hint="eastAsia"/>
                <w:sz w:val="21"/>
                <w:szCs w:val="21"/>
              </w:rPr>
              <w:t>DELL</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1套</w:t>
            </w:r>
          </w:p>
        </w:tc>
      </w:tr>
      <w:tr>
        <w:trPr>
          <w:cantSplit/>
          <w:trHeight w:val="397" w:hRule="atLeast"/>
          <w:jc w:val="center"/>
        </w:trPr>
        <w:tc>
          <w:tcPr>
            <w:tcW w:w="822"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2835" w:type="dxa"/>
            <w:gridSpan w:val="2"/>
            <w:vMerge w:val="continue"/>
            <w:tcBorders>
              <w:top w:val="nil"/>
              <w:left w:val="single" w:color="auto" w:sz="4" w:space="0"/>
              <w:bottom w:val="single" w:color="auto" w:sz="4" w:space="0"/>
              <w:right w:val="single" w:color="auto" w:sz="4" w:space="0"/>
            </w:tcBorders>
            <w:vAlign w:val="center"/>
          </w:tcPr>
          <w:p>
            <w:pPr>
              <w:widowControl/>
              <w:rPr>
                <w:rFonts w:cs="Times New Roman"/>
                <w:bCs/>
                <w:kern w:val="2"/>
                <w:sz w:val="21"/>
                <w:szCs w:val="21"/>
              </w:rPr>
            </w:pPr>
          </w:p>
        </w:tc>
        <w:tc>
          <w:tcPr>
            <w:tcW w:w="4961" w:type="dxa"/>
            <w:tcBorders>
              <w:top w:val="single" w:color="auto" w:sz="4" w:space="0"/>
              <w:left w:val="single" w:color="auto" w:sz="4" w:space="0"/>
              <w:bottom w:val="single" w:color="auto" w:sz="4" w:space="0"/>
              <w:right w:val="single" w:color="auto" w:sz="4" w:space="0"/>
            </w:tcBorders>
          </w:tcPr>
          <w:p>
            <w:pPr>
              <w:pStyle w:val="41"/>
              <w:jc w:val="both"/>
              <w:rPr>
                <w:rFonts w:cs="Times New Roman"/>
                <w:color w:val="auto"/>
                <w:sz w:val="21"/>
                <w:szCs w:val="21"/>
              </w:rPr>
            </w:pPr>
            <w:r>
              <w:rPr>
                <w:rFonts w:hint="eastAsia" w:cs="Times New Roman"/>
                <w:color w:val="auto"/>
                <w:sz w:val="21"/>
                <w:szCs w:val="21"/>
              </w:rPr>
              <w:t>16口KVM切换器，用于多台监测主机的操作切换，共享1套键盘、鼠标、显示器</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sz w:val="21"/>
                <w:szCs w:val="21"/>
              </w:rPr>
            </w:pPr>
            <w:r>
              <w:rPr>
                <w:rFonts w:hint="eastAsia"/>
                <w:sz w:val="21"/>
                <w:szCs w:val="21"/>
              </w:rPr>
              <w:t>ATEN</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1台</w:t>
            </w:r>
          </w:p>
        </w:tc>
      </w:tr>
      <w:tr>
        <w:trPr>
          <w:cantSplit/>
          <w:trHeight w:val="397" w:hRule="atLeast"/>
          <w:jc w:val="center"/>
        </w:trPr>
        <w:tc>
          <w:tcPr>
            <w:tcW w:w="822"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2835" w:type="dxa"/>
            <w:gridSpan w:val="2"/>
            <w:vMerge w:val="continue"/>
            <w:tcBorders>
              <w:top w:val="nil"/>
              <w:left w:val="single" w:color="auto" w:sz="4" w:space="0"/>
              <w:bottom w:val="single" w:color="auto" w:sz="4" w:space="0"/>
              <w:right w:val="single" w:color="auto" w:sz="4" w:space="0"/>
            </w:tcBorders>
            <w:vAlign w:val="center"/>
          </w:tcPr>
          <w:p>
            <w:pPr>
              <w:widowControl/>
              <w:rPr>
                <w:rFonts w:cs="Times New Roman"/>
                <w:bCs/>
                <w:kern w:val="2"/>
                <w:sz w:val="21"/>
                <w:szCs w:val="21"/>
              </w:rPr>
            </w:pPr>
          </w:p>
        </w:tc>
        <w:tc>
          <w:tcPr>
            <w:tcW w:w="4961" w:type="dxa"/>
            <w:tcBorders>
              <w:top w:val="single" w:color="auto" w:sz="4" w:space="0"/>
              <w:left w:val="single" w:color="auto" w:sz="4" w:space="0"/>
              <w:bottom w:val="single" w:color="auto" w:sz="4" w:space="0"/>
              <w:right w:val="single" w:color="auto" w:sz="4" w:space="0"/>
            </w:tcBorders>
          </w:tcPr>
          <w:p>
            <w:pPr>
              <w:pStyle w:val="41"/>
              <w:jc w:val="both"/>
              <w:rPr>
                <w:rFonts w:cs="Times New Roman"/>
                <w:color w:val="auto"/>
                <w:sz w:val="21"/>
                <w:szCs w:val="21"/>
              </w:rPr>
            </w:pPr>
            <w:r>
              <w:rPr>
                <w:rFonts w:hint="eastAsia" w:cs="Times New Roman"/>
                <w:color w:val="auto"/>
                <w:sz w:val="21"/>
                <w:szCs w:val="21"/>
              </w:rPr>
              <w:t>BHAA48</w:t>
            </w:r>
            <w:r>
              <w:rPr>
                <w:rFonts w:hint="eastAsia" w:cs="Times New Roman"/>
                <w:color w:val="auto"/>
                <w:sz w:val="21"/>
                <w:szCs w:val="21"/>
              </w:rPr>
              <w:br w:type="textWrapping"/>
            </w:r>
            <w:r>
              <w:rPr>
                <w:rFonts w:hint="eastAsia" w:cs="Times New Roman"/>
                <w:color w:val="auto"/>
                <w:sz w:val="21"/>
                <w:szCs w:val="21"/>
              </w:rPr>
              <w:t>14路音频混合器，立体声音箱</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sz w:val="21"/>
                <w:szCs w:val="21"/>
              </w:rPr>
            </w:pPr>
            <w:r>
              <w:rPr>
                <w:rFonts w:hint="eastAsia"/>
                <w:sz w:val="21"/>
                <w:szCs w:val="21"/>
              </w:rPr>
              <w:t>北京博汇</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1台</w:t>
            </w:r>
          </w:p>
        </w:tc>
      </w:tr>
      <w:tr>
        <w:trPr>
          <w:cantSplit/>
          <w:trHeight w:val="397" w:hRule="atLeast"/>
          <w:jc w:val="center"/>
        </w:trPr>
        <w:tc>
          <w:tcPr>
            <w:tcW w:w="822"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2835" w:type="dxa"/>
            <w:gridSpan w:val="2"/>
            <w:vMerge w:val="continue"/>
            <w:tcBorders>
              <w:top w:val="nil"/>
              <w:left w:val="single" w:color="auto" w:sz="4" w:space="0"/>
              <w:bottom w:val="single" w:color="auto" w:sz="4" w:space="0"/>
              <w:right w:val="single" w:color="auto" w:sz="4" w:space="0"/>
            </w:tcBorders>
            <w:vAlign w:val="center"/>
          </w:tcPr>
          <w:p>
            <w:pPr>
              <w:widowControl/>
              <w:rPr>
                <w:rFonts w:cs="Times New Roman"/>
                <w:bCs/>
                <w:kern w:val="2"/>
                <w:sz w:val="21"/>
                <w:szCs w:val="21"/>
              </w:rPr>
            </w:pPr>
          </w:p>
        </w:tc>
        <w:tc>
          <w:tcPr>
            <w:tcW w:w="4961" w:type="dxa"/>
            <w:tcBorders>
              <w:top w:val="single" w:color="auto" w:sz="4" w:space="0"/>
              <w:left w:val="single" w:color="auto" w:sz="4" w:space="0"/>
              <w:bottom w:val="single" w:color="auto" w:sz="4" w:space="0"/>
              <w:right w:val="single" w:color="auto" w:sz="4" w:space="0"/>
            </w:tcBorders>
          </w:tcPr>
          <w:p>
            <w:pPr>
              <w:pStyle w:val="41"/>
              <w:jc w:val="both"/>
              <w:rPr>
                <w:rFonts w:cs="Times New Roman"/>
                <w:color w:val="auto"/>
                <w:sz w:val="21"/>
                <w:szCs w:val="21"/>
              </w:rPr>
            </w:pPr>
            <w:r>
              <w:rPr>
                <w:rFonts w:hint="eastAsia" w:cs="Times New Roman"/>
                <w:color w:val="auto"/>
                <w:sz w:val="21"/>
                <w:szCs w:val="21"/>
              </w:rPr>
              <w:t>WS-C3850-24T</w:t>
            </w:r>
          </w:p>
          <w:p>
            <w:pPr>
              <w:pStyle w:val="41"/>
              <w:jc w:val="both"/>
              <w:rPr>
                <w:rFonts w:cs="Times New Roman"/>
                <w:color w:val="auto"/>
                <w:sz w:val="21"/>
                <w:szCs w:val="21"/>
              </w:rPr>
            </w:pPr>
            <w:r>
              <w:rPr>
                <w:rFonts w:hint="eastAsia" w:cs="Times New Roman"/>
                <w:color w:val="auto"/>
                <w:sz w:val="21"/>
                <w:szCs w:val="21"/>
              </w:rPr>
              <w:t>配置双电源，24个以太网10/100/1000 端口，一台用于设备的网管管理，另一台用于转码输出后节目数据的汇聚</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sz w:val="21"/>
                <w:szCs w:val="21"/>
              </w:rPr>
            </w:pPr>
            <w:r>
              <w:rPr>
                <w:rFonts w:hint="eastAsia"/>
                <w:sz w:val="21"/>
                <w:szCs w:val="21"/>
              </w:rPr>
              <w:t>CISCO</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2台</w:t>
            </w:r>
          </w:p>
        </w:tc>
      </w:tr>
      <w:tr>
        <w:trPr>
          <w:cantSplit/>
          <w:trHeight w:val="397" w:hRule="atLeast"/>
          <w:jc w:val="center"/>
        </w:trPr>
        <w:tc>
          <w:tcPr>
            <w:tcW w:w="822" w:type="dxa"/>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2835" w:type="dxa"/>
            <w:gridSpan w:val="2"/>
            <w:vMerge w:val="continue"/>
            <w:tcBorders>
              <w:top w:val="nil"/>
              <w:left w:val="single" w:color="auto" w:sz="4" w:space="0"/>
              <w:bottom w:val="single" w:color="auto" w:sz="4" w:space="0"/>
              <w:right w:val="single" w:color="auto" w:sz="4" w:space="0"/>
            </w:tcBorders>
            <w:vAlign w:val="center"/>
          </w:tcPr>
          <w:p>
            <w:pPr>
              <w:widowControl/>
              <w:rPr>
                <w:rFonts w:cs="Times New Roman"/>
                <w:bCs/>
                <w:kern w:val="2"/>
                <w:sz w:val="21"/>
                <w:szCs w:val="21"/>
              </w:rPr>
            </w:pPr>
          </w:p>
        </w:tc>
        <w:tc>
          <w:tcPr>
            <w:tcW w:w="4961" w:type="dxa"/>
            <w:tcBorders>
              <w:top w:val="single" w:color="auto" w:sz="4" w:space="0"/>
              <w:left w:val="single" w:color="auto" w:sz="4" w:space="0"/>
              <w:bottom w:val="single" w:color="auto" w:sz="4" w:space="0"/>
              <w:right w:val="single" w:color="auto" w:sz="4" w:space="0"/>
            </w:tcBorders>
          </w:tcPr>
          <w:p>
            <w:pPr>
              <w:pStyle w:val="41"/>
              <w:jc w:val="both"/>
              <w:rPr>
                <w:rFonts w:cs="Times New Roman"/>
                <w:color w:val="auto"/>
                <w:sz w:val="21"/>
                <w:szCs w:val="21"/>
              </w:rPr>
            </w:pPr>
            <w:r>
              <w:rPr>
                <w:rFonts w:hint="eastAsia" w:cs="Times New Roman"/>
                <w:color w:val="auto"/>
                <w:sz w:val="21"/>
                <w:szCs w:val="21"/>
              </w:rPr>
              <w:t>WS-C3850-48T</w:t>
            </w:r>
          </w:p>
          <w:p>
            <w:pPr>
              <w:pStyle w:val="41"/>
              <w:jc w:val="both"/>
              <w:rPr>
                <w:rFonts w:cs="Times New Roman"/>
                <w:color w:val="auto"/>
                <w:sz w:val="21"/>
                <w:szCs w:val="21"/>
              </w:rPr>
            </w:pPr>
            <w:r>
              <w:rPr>
                <w:rFonts w:hint="eastAsia" w:cs="Times New Roman"/>
                <w:color w:val="auto"/>
                <w:sz w:val="21"/>
                <w:szCs w:val="21"/>
              </w:rPr>
              <w:t>配置双电源，48个以太网10/100/1000 端口，用于接收机解调后节目数据的汇聚，其中一台用更换主路的Cisco 2960G-48TC</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sz w:val="21"/>
                <w:szCs w:val="21"/>
              </w:rPr>
            </w:pPr>
            <w:r>
              <w:rPr>
                <w:rFonts w:hint="eastAsia"/>
                <w:sz w:val="21"/>
                <w:szCs w:val="21"/>
              </w:rPr>
              <w:t>CISCO</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2台</w:t>
            </w:r>
          </w:p>
        </w:tc>
      </w:tr>
      <w:tr>
        <w:trPr>
          <w:cantSplit/>
          <w:trHeight w:val="397"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12</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运输保险费</w:t>
            </w:r>
          </w:p>
        </w:tc>
        <w:tc>
          <w:tcPr>
            <w:tcW w:w="4961" w:type="dxa"/>
            <w:tcBorders>
              <w:top w:val="single" w:color="auto" w:sz="4" w:space="0"/>
              <w:left w:val="single" w:color="auto" w:sz="4" w:space="0"/>
              <w:bottom w:val="single" w:color="auto" w:sz="4" w:space="0"/>
              <w:right w:val="single" w:color="auto" w:sz="4" w:space="0"/>
            </w:tcBorders>
            <w:vAlign w:val="center"/>
          </w:tcPr>
          <w:p>
            <w:pPr>
              <w:rPr>
                <w:bCs/>
                <w:sz w:val="21"/>
                <w:szCs w:val="21"/>
              </w:rPr>
            </w:pPr>
            <w:r>
              <w:rPr>
                <w:rFonts w:hint="eastAsia"/>
                <w:bCs/>
                <w:sz w:val="21"/>
                <w:szCs w:val="21"/>
              </w:rPr>
              <w:t>产品运输保险费</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Cs/>
                <w:sz w:val="21"/>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bCs/>
                <w:sz w:val="21"/>
                <w:szCs w:val="21"/>
              </w:rPr>
            </w:pPr>
            <w:r>
              <w:rPr>
                <w:rFonts w:hint="eastAsia"/>
                <w:bCs/>
                <w:sz w:val="21"/>
                <w:szCs w:val="21"/>
              </w:rPr>
              <w:t>1项</w:t>
            </w:r>
          </w:p>
        </w:tc>
      </w:tr>
    </w:tbl>
    <w:p>
      <w:pPr>
        <w:rPr>
          <w:rFonts w:cs="Times New Roman"/>
          <w:kern w:val="2"/>
          <w:sz w:val="21"/>
          <w:szCs w:val="21"/>
        </w:rPr>
      </w:pPr>
    </w:p>
    <w:p>
      <w:pPr>
        <w:pStyle w:val="42"/>
        <w:rPr>
          <w:rFonts w:ascii="宋体" w:hAnsi="宋体"/>
        </w:rPr>
      </w:pPr>
      <w:r>
        <w:rPr>
          <w:rFonts w:hint="eastAsia" w:ascii="宋体" w:hAnsi="宋体"/>
        </w:rPr>
        <w:t>【3】FK201803013-IPTV集成播控平台信源接收及安全监测系统合同</w:t>
      </w:r>
    </w:p>
    <w:p>
      <w:pPr>
        <w:pStyle w:val="42"/>
        <w:rPr>
          <w:rFonts w:ascii="宋体" w:hAnsi="宋体"/>
        </w:rPr>
      </w:pPr>
      <w:r>
        <w:rPr>
          <w:rFonts w:hint="eastAsia" w:ascii="宋体" w:hAnsi="宋体"/>
        </w:rPr>
        <w:t>本合同标的的货物均在使用，拟计划续保至2025年12月31日。</w:t>
      </w:r>
    </w:p>
    <w:tbl>
      <w:tblPr>
        <w:tblStyle w:val="19"/>
        <w:tblW w:w="9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709"/>
        <w:gridCol w:w="1134"/>
        <w:gridCol w:w="4817"/>
        <w:gridCol w:w="1134"/>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tblHeader/>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序号</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分项名称</w:t>
            </w:r>
          </w:p>
        </w:tc>
        <w:tc>
          <w:tcPr>
            <w:tcW w:w="4819"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品牌、规格型号、主要技术参数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制造商</w:t>
            </w:r>
          </w:p>
        </w:tc>
        <w:tc>
          <w:tcPr>
            <w:tcW w:w="880"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w:t>
            </w:r>
          </w:p>
        </w:tc>
        <w:tc>
          <w:tcPr>
            <w:tcW w:w="709" w:type="dxa"/>
            <w:vMerge w:val="restart"/>
            <w:tcBorders>
              <w:top w:val="nil"/>
              <w:left w:val="single" w:color="auto" w:sz="4" w:space="0"/>
              <w:bottom w:val="single" w:color="auto" w:sz="4" w:space="0"/>
              <w:right w:val="single" w:color="auto" w:sz="4" w:space="0"/>
            </w:tcBorders>
            <w:vAlign w:val="center"/>
          </w:tcPr>
          <w:p>
            <w:pPr>
              <w:rPr>
                <w:bCs/>
                <w:sz w:val="21"/>
                <w:szCs w:val="21"/>
              </w:rPr>
            </w:pPr>
            <w:r>
              <w:rPr>
                <w:rFonts w:hint="eastAsia"/>
                <w:sz w:val="21"/>
                <w:szCs w:val="21"/>
              </w:rPr>
              <w:t>AVS+转码器</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sz w:val="21"/>
                <w:szCs w:val="21"/>
              </w:rPr>
            </w:pPr>
            <w:r>
              <w:rPr>
                <w:rFonts w:hint="eastAsia"/>
                <w:sz w:val="21"/>
                <w:szCs w:val="21"/>
              </w:rPr>
              <w:t>转码器机框（含转码处理模块</w:t>
            </w:r>
          </w:p>
        </w:tc>
        <w:tc>
          <w:tcPr>
            <w:tcW w:w="4819" w:type="dxa"/>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Electra X2-G2</w:t>
            </w:r>
          </w:p>
          <w:p>
            <w:pPr>
              <w:pStyle w:val="41"/>
              <w:jc w:val="both"/>
              <w:rPr>
                <w:rFonts w:cs="Times New Roman"/>
                <w:color w:val="auto"/>
                <w:kern w:val="2"/>
                <w:sz w:val="21"/>
                <w:szCs w:val="21"/>
              </w:rPr>
            </w:pPr>
            <w:r>
              <w:rPr>
                <w:rFonts w:hint="eastAsia" w:cs="Times New Roman"/>
                <w:color w:val="auto"/>
                <w:kern w:val="2"/>
                <w:sz w:val="21"/>
                <w:szCs w:val="21"/>
              </w:rPr>
              <w:t>1U机架式配置，双电源。支持4个千兆IP 输入输出口，1个网管接口,支持9套AVS+高清节目转H.264高清节目。</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kern w:val="2"/>
                <w:sz w:val="21"/>
                <w:szCs w:val="21"/>
              </w:rPr>
            </w:pPr>
            <w:r>
              <w:rPr>
                <w:rFonts w:hint="eastAsia"/>
                <w:sz w:val="21"/>
                <w:szCs w:val="21"/>
              </w:rPr>
              <w:t>美国哈雷</w:t>
            </w:r>
          </w:p>
        </w:tc>
        <w:tc>
          <w:tcPr>
            <w:tcW w:w="880"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2</w:t>
            </w:r>
          </w:p>
        </w:tc>
        <w:tc>
          <w:tcPr>
            <w:tcW w:w="1843" w:type="dxa"/>
            <w:vMerge w:val="continue"/>
            <w:tcBorders>
              <w:top w:val="nil"/>
              <w:left w:val="single" w:color="auto" w:sz="4" w:space="0"/>
              <w:bottom w:val="single" w:color="auto" w:sz="4" w:space="0"/>
              <w:right w:val="single" w:color="auto" w:sz="4" w:space="0"/>
            </w:tcBorders>
            <w:vAlign w:val="center"/>
          </w:tcPr>
          <w:p>
            <w:pPr>
              <w:widowControl/>
              <w:rPr>
                <w:rFonts w:cs="Times New Roman"/>
                <w:bCs/>
                <w:kern w:val="2"/>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视频转码授权</w:t>
            </w:r>
          </w:p>
        </w:tc>
        <w:tc>
          <w:tcPr>
            <w:tcW w:w="4819"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FW-ELC-X2-ENC-HD-AVC</w:t>
            </w:r>
          </w:p>
          <w:p>
            <w:pPr>
              <w:rPr>
                <w:sz w:val="21"/>
                <w:szCs w:val="21"/>
              </w:rPr>
            </w:pPr>
            <w:r>
              <w:rPr>
                <w:rFonts w:hint="eastAsia"/>
                <w:sz w:val="21"/>
                <w:szCs w:val="21"/>
              </w:rPr>
              <w:t>支持高清MPEG-2/AVS+节目实时转码为H.264高清/标清输出；H.264格式视频压缩；4:2:0MP@ML，标清输出码率1-15Mbps可调, 4:2:0MP@HL，高清输出码率2-20Mbps可调;高清转码分辨率支持1080i及720P；标清转码支持PAL（576×720）、NTSC（480×720）；每套节目1个视频转码授权。</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美国哈雷</w:t>
            </w:r>
          </w:p>
        </w:tc>
        <w:tc>
          <w:tcPr>
            <w:tcW w:w="880"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30套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3</w:t>
            </w:r>
          </w:p>
        </w:tc>
        <w:tc>
          <w:tcPr>
            <w:tcW w:w="1843" w:type="dxa"/>
            <w:vMerge w:val="continue"/>
            <w:tcBorders>
              <w:top w:val="nil"/>
              <w:left w:val="single" w:color="auto" w:sz="4" w:space="0"/>
              <w:bottom w:val="single" w:color="auto" w:sz="4" w:space="0"/>
              <w:right w:val="single" w:color="auto" w:sz="4" w:space="0"/>
            </w:tcBorders>
            <w:vAlign w:val="center"/>
          </w:tcPr>
          <w:p>
            <w:pPr>
              <w:widowControl/>
              <w:rPr>
                <w:rFonts w:cs="Times New Roman"/>
                <w:bCs/>
                <w:kern w:val="2"/>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音频转码授权</w:t>
            </w:r>
          </w:p>
        </w:tc>
        <w:tc>
          <w:tcPr>
            <w:tcW w:w="4819"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FW-ELC-X2-AUD-ENC-MP2-ST</w:t>
            </w:r>
          </w:p>
          <w:p>
            <w:pPr>
              <w:rPr>
                <w:sz w:val="21"/>
                <w:szCs w:val="21"/>
              </w:rPr>
            </w:pPr>
            <w:r>
              <w:rPr>
                <w:rFonts w:hint="eastAsia"/>
                <w:sz w:val="21"/>
                <w:szCs w:val="21"/>
              </w:rPr>
              <w:t>PEG-1 Layer2、AAC，Dolby Digital AC3等音频的直通或再转码功能；支持将一路Dolby Digital AC3转为两路音轨，其中一路透传、另一路转为MPEG-1 Layer2；支持音频码率64K-384Kbps之间可调。</w:t>
            </w:r>
          </w:p>
          <w:p>
            <w:pPr>
              <w:rPr>
                <w:sz w:val="21"/>
                <w:szCs w:val="21"/>
              </w:rPr>
            </w:pPr>
            <w:r>
              <w:rPr>
                <w:rFonts w:hint="eastAsia"/>
                <w:sz w:val="21"/>
                <w:szCs w:val="21"/>
              </w:rPr>
              <w:t>每套节目1个音频转码授权。</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美国哈雷</w:t>
            </w:r>
          </w:p>
        </w:tc>
        <w:tc>
          <w:tcPr>
            <w:tcW w:w="880"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30套</w:t>
            </w:r>
          </w:p>
        </w:tc>
      </w:tr>
    </w:tbl>
    <w:p>
      <w:pPr>
        <w:rPr>
          <w:rFonts w:cs="Times New Roman"/>
          <w:kern w:val="2"/>
          <w:sz w:val="21"/>
          <w:szCs w:val="21"/>
        </w:rPr>
      </w:pPr>
    </w:p>
    <w:p>
      <w:pPr>
        <w:pStyle w:val="42"/>
        <w:rPr>
          <w:rFonts w:ascii="宋体" w:hAnsi="宋体"/>
        </w:rPr>
      </w:pPr>
      <w:r>
        <w:rPr>
          <w:rFonts w:hint="eastAsia" w:ascii="宋体" w:hAnsi="宋体"/>
        </w:rPr>
        <w:t>【4】F201406046-南方广播影视传媒集团IPTV集成播控平台卫星信源接收及安全监测系统合同</w:t>
      </w:r>
    </w:p>
    <w:p>
      <w:pPr>
        <w:pStyle w:val="42"/>
        <w:ind w:firstLine="420" w:firstLineChars="200"/>
        <w:rPr>
          <w:rFonts w:ascii="宋体" w:hAnsi="宋体"/>
        </w:rPr>
      </w:pPr>
      <w:r>
        <w:rPr>
          <w:rFonts w:hint="eastAsia" w:ascii="宋体" w:hAnsi="宋体"/>
        </w:rPr>
        <w:t>本合同标的的货物均在使用，其中1-4项在计划更替，因此本合同只针对5-7项拟计划续保至2025年12月31日。</w:t>
      </w:r>
    </w:p>
    <w:tbl>
      <w:tblPr>
        <w:tblStyle w:val="19"/>
        <w:tblW w:w="9215" w:type="dxa"/>
        <w:tblInd w:w="-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52"/>
        <w:gridCol w:w="1362"/>
        <w:gridCol w:w="5300"/>
        <w:gridCol w:w="850"/>
        <w:gridCol w:w="851"/>
      </w:tblGrid>
      <w:tr>
        <w:trPr>
          <w:trHeight w:val="400" w:hRule="atLeast"/>
          <w:tblHeader/>
        </w:trPr>
        <w:tc>
          <w:tcPr>
            <w:tcW w:w="852"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序号</w:t>
            </w:r>
          </w:p>
        </w:tc>
        <w:tc>
          <w:tcPr>
            <w:tcW w:w="1362"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分项名称</w:t>
            </w:r>
          </w:p>
        </w:tc>
        <w:tc>
          <w:tcPr>
            <w:tcW w:w="5300" w:type="dxa"/>
            <w:tcBorders>
              <w:top w:val="single" w:color="auto" w:sz="4" w:space="0"/>
              <w:left w:val="single" w:color="auto" w:sz="4" w:space="0"/>
              <w:bottom w:val="single" w:color="auto" w:sz="4" w:space="0"/>
              <w:right w:val="single" w:color="auto" w:sz="4" w:space="0"/>
            </w:tcBorders>
            <w:vAlign w:val="center"/>
          </w:tcPr>
          <w:p>
            <w:pPr>
              <w:ind w:left="100"/>
              <w:rPr>
                <w:sz w:val="21"/>
                <w:szCs w:val="21"/>
              </w:rPr>
            </w:pPr>
            <w:r>
              <w:rPr>
                <w:rFonts w:hint="eastAsia"/>
                <w:sz w:val="21"/>
                <w:szCs w:val="21"/>
              </w:rPr>
              <w:t>品牌、规格型号、主要技术参数</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制造商</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0" w:hRule="atLeast"/>
        </w:trPr>
        <w:tc>
          <w:tcPr>
            <w:tcW w:w="852" w:type="dxa"/>
            <w:tcBorders>
              <w:top w:val="single" w:color="auto" w:sz="4" w:space="0"/>
              <w:left w:val="single" w:color="auto" w:sz="4" w:space="0"/>
              <w:bottom w:val="single" w:color="auto" w:sz="4" w:space="0"/>
              <w:right w:val="single" w:color="auto" w:sz="4" w:space="0"/>
            </w:tcBorders>
            <w:vAlign w:val="center"/>
          </w:tcPr>
          <w:p>
            <w:pPr>
              <w:ind w:left="60"/>
              <w:rPr>
                <w:sz w:val="21"/>
                <w:szCs w:val="21"/>
              </w:rPr>
            </w:pPr>
            <w:r>
              <w:rPr>
                <w:rFonts w:hint="eastAsia"/>
                <w:sz w:val="21"/>
                <w:szCs w:val="21"/>
              </w:rPr>
              <w:t>1</w:t>
            </w:r>
          </w:p>
        </w:tc>
        <w:tc>
          <w:tcPr>
            <w:tcW w:w="1362" w:type="dxa"/>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标清数字卫星接收解码器</w:t>
            </w:r>
          </w:p>
        </w:tc>
        <w:tc>
          <w:tcPr>
            <w:tcW w:w="5300"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PVR7000：1RU机箱，支持四路DVB-SQPSK输入，同时支持四路卫星信号解调。配有两个CAM插槽。两路ASI和IP双输出。支持MPEG-2和H．264标清解码，配有两路SDI输出，两路CVBS输出。同时配置有HDMI输出。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哈雷</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6台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0" w:hRule="atLeast"/>
        </w:trPr>
        <w:tc>
          <w:tcPr>
            <w:tcW w:w="852" w:type="dxa"/>
            <w:tcBorders>
              <w:top w:val="single" w:color="auto" w:sz="4" w:space="0"/>
              <w:left w:val="single" w:color="auto" w:sz="4" w:space="0"/>
              <w:bottom w:val="single" w:color="auto" w:sz="4" w:space="0"/>
              <w:right w:val="single" w:color="auto" w:sz="4" w:space="0"/>
            </w:tcBorders>
            <w:vAlign w:val="center"/>
          </w:tcPr>
          <w:p>
            <w:pPr>
              <w:ind w:left="60"/>
              <w:rPr>
                <w:sz w:val="21"/>
                <w:szCs w:val="21"/>
              </w:rPr>
            </w:pPr>
            <w:r>
              <w:rPr>
                <w:rFonts w:hint="eastAsia"/>
                <w:sz w:val="21"/>
                <w:szCs w:val="21"/>
              </w:rPr>
              <w:t>2</w:t>
            </w:r>
          </w:p>
        </w:tc>
        <w:tc>
          <w:tcPr>
            <w:tcW w:w="1362" w:type="dxa"/>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高清数字卫星接收解码器</w:t>
            </w:r>
          </w:p>
        </w:tc>
        <w:tc>
          <w:tcPr>
            <w:tcW w:w="5300"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PVR7000：1RU机箱，支持四路DVB-S QPSK输入，同时支持四路卫星信号解调。配有两个CAM插槽。两路ASI和IP双输出。支持MPEG-2和H．264高标清解码，配有两路HD-SDI输出，两路CVBS输出。同时配置有HDMI输出。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哈雷</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0" w:hRule="atLeast"/>
        </w:trPr>
        <w:tc>
          <w:tcPr>
            <w:tcW w:w="852" w:type="dxa"/>
            <w:tcBorders>
              <w:top w:val="single" w:color="auto" w:sz="4" w:space="0"/>
              <w:left w:val="single" w:color="auto" w:sz="4" w:space="0"/>
              <w:bottom w:val="single" w:color="auto" w:sz="4" w:space="0"/>
              <w:right w:val="single" w:color="auto" w:sz="4" w:space="0"/>
            </w:tcBorders>
            <w:vAlign w:val="center"/>
          </w:tcPr>
          <w:p>
            <w:pPr>
              <w:ind w:left="40"/>
              <w:rPr>
                <w:sz w:val="21"/>
                <w:szCs w:val="21"/>
              </w:rPr>
            </w:pPr>
            <w:r>
              <w:rPr>
                <w:rFonts w:hint="eastAsia"/>
                <w:sz w:val="21"/>
                <w:szCs w:val="21"/>
              </w:rPr>
              <w:t>3</w:t>
            </w:r>
          </w:p>
        </w:tc>
        <w:tc>
          <w:tcPr>
            <w:tcW w:w="1362"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通用转码平台</w:t>
            </w:r>
          </w:p>
        </w:tc>
        <w:tc>
          <w:tcPr>
            <w:tcW w:w="5300" w:type="dxa"/>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ProStream1000-ACE：1RU机箱，具有5个I／0模块插槽；本配置2块Gbe板块。含两个SFP电口模块。配置2块4端口的ASI板卡，共支持8个ASI端口，每个端口均可自定义输入或输出；配置4块ACE转码卡，可支持45路标清节目MPEG-2到H．264的转码和5路高清节目MPEG-2到H．264的转码。</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哈雷</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0" w:hRule="atLeast"/>
        </w:trPr>
        <w:tc>
          <w:tcPr>
            <w:tcW w:w="852" w:type="dxa"/>
            <w:tcBorders>
              <w:top w:val="single" w:color="auto" w:sz="4" w:space="0"/>
              <w:left w:val="single" w:color="auto" w:sz="4" w:space="0"/>
              <w:bottom w:val="single" w:color="auto" w:sz="4" w:space="0"/>
              <w:right w:val="single" w:color="auto" w:sz="4" w:space="0"/>
            </w:tcBorders>
            <w:vAlign w:val="center"/>
          </w:tcPr>
          <w:p>
            <w:pPr>
              <w:ind w:left="60"/>
              <w:rPr>
                <w:sz w:val="21"/>
                <w:szCs w:val="21"/>
              </w:rPr>
            </w:pPr>
            <w:r>
              <w:rPr>
                <w:rFonts w:hint="eastAsia"/>
                <w:sz w:val="21"/>
                <w:szCs w:val="21"/>
              </w:rPr>
              <w:t>4</w:t>
            </w:r>
          </w:p>
        </w:tc>
        <w:tc>
          <w:tcPr>
            <w:tcW w:w="1362" w:type="dxa"/>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NMX数字业务管理系统软件</w:t>
            </w:r>
          </w:p>
        </w:tc>
        <w:tc>
          <w:tcPr>
            <w:tcW w:w="5300" w:type="dxa"/>
            <w:tcBorders>
              <w:top w:val="single" w:color="auto" w:sz="4" w:space="0"/>
              <w:left w:val="single" w:color="auto" w:sz="4" w:space="0"/>
              <w:bottom w:val="single" w:color="auto" w:sz="4" w:space="0"/>
              <w:right w:val="single" w:color="auto" w:sz="4" w:space="0"/>
            </w:tcBorders>
            <w:vAlign w:val="center"/>
          </w:tcPr>
          <w:p>
            <w:pPr>
              <w:rPr>
                <w:sz w:val="21"/>
                <w:szCs w:val="21"/>
              </w:rPr>
            </w:pPr>
            <w:r>
              <w:rPr>
                <w:rFonts w:hint="eastAsia"/>
                <w:sz w:val="21"/>
                <w:szCs w:val="21"/>
              </w:rPr>
              <w:t>哈雷新一代网络管理系统，提供强大的网络管理及数字业务管理功能，可实现中心前端及分布式分前端全网哈雷设备的网管和监控。NMX网管系统通过一系列工具，在提供系统配置效率的同时，进一步提高系统的可靠性。NMX的操作方式是从系统运营的角度，即通过对传输业务的操作直接实现对设备的配置。Server／Client 结构设计，可实现任意规模的系统扩容。</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哈雷</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0" w:hRule="atLeast"/>
        </w:trPr>
        <w:tc>
          <w:tcPr>
            <w:tcW w:w="852" w:type="dxa"/>
            <w:tcBorders>
              <w:top w:val="single" w:color="auto" w:sz="4" w:space="0"/>
              <w:left w:val="single" w:color="auto" w:sz="4" w:space="0"/>
              <w:bottom w:val="single" w:color="auto" w:sz="4" w:space="0"/>
              <w:right w:val="single" w:color="auto" w:sz="4" w:space="0"/>
            </w:tcBorders>
            <w:vAlign w:val="center"/>
          </w:tcPr>
          <w:p>
            <w:pPr>
              <w:ind w:left="60"/>
              <w:rPr>
                <w:sz w:val="21"/>
                <w:szCs w:val="21"/>
              </w:rPr>
            </w:pPr>
            <w:r>
              <w:rPr>
                <w:rFonts w:hint="eastAsia"/>
                <w:sz w:val="21"/>
                <w:szCs w:val="21"/>
              </w:rPr>
              <w:t>5</w:t>
            </w:r>
          </w:p>
        </w:tc>
        <w:tc>
          <w:tcPr>
            <w:tcW w:w="1362" w:type="dxa"/>
            <w:tcBorders>
              <w:top w:val="single" w:color="auto" w:sz="4" w:space="0"/>
              <w:left w:val="nil"/>
              <w:bottom w:val="single" w:color="auto" w:sz="4" w:space="0"/>
              <w:right w:val="single" w:color="auto" w:sz="4" w:space="0"/>
            </w:tcBorders>
          </w:tcPr>
          <w:p>
            <w:pPr>
              <w:rPr>
                <w:sz w:val="21"/>
                <w:szCs w:val="21"/>
              </w:rPr>
            </w:pPr>
            <w:r>
              <w:rPr>
                <w:rFonts w:hint="eastAsia"/>
                <w:sz w:val="21"/>
                <w:szCs w:val="21"/>
              </w:rPr>
              <w:t>专用接收机</w:t>
            </w: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CDVB5100CI＋专用接收机</w:t>
            </w:r>
          </w:p>
          <w:p>
            <w:pPr>
              <w:rPr>
                <w:sz w:val="21"/>
                <w:szCs w:val="21"/>
              </w:rPr>
            </w:pPr>
            <w:r>
              <w:rPr>
                <w:rFonts w:hint="eastAsia"/>
                <w:sz w:val="21"/>
                <w:szCs w:val="21"/>
              </w:rPr>
              <w:t>双路Common Interface 接口 配合CAM卡支持 Irdeto，Viaccess，NDS VideoGuard 等多种主流CA系</w:t>
            </w:r>
          </w:p>
          <w:p>
            <w:pPr>
              <w:rPr>
                <w:sz w:val="21"/>
                <w:szCs w:val="21"/>
              </w:rPr>
            </w:pPr>
            <w:r>
              <w:rPr>
                <w:rFonts w:hint="eastAsia"/>
                <w:sz w:val="21"/>
                <w:szCs w:val="21"/>
              </w:rPr>
              <w:t>统节目的解密 通过软件可设置输出解扰的TS流或不解扰的TS流和CAM卡配合支持机卡配对</w:t>
            </w:r>
          </w:p>
          <w:p>
            <w:pPr>
              <w:rPr>
                <w:sz w:val="21"/>
                <w:szCs w:val="21"/>
              </w:rPr>
            </w:pPr>
            <w:r>
              <w:rPr>
                <w:rFonts w:hint="eastAsia"/>
                <w:sz w:val="21"/>
                <w:szCs w:val="21"/>
              </w:rPr>
              <w:t>具备ASI输入输出接口，支持级联，以节省昂贵的复用器</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同洲电子</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5台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0" w:hRule="atLeast"/>
        </w:trPr>
        <w:tc>
          <w:tcPr>
            <w:tcW w:w="852" w:type="dxa"/>
            <w:vMerge w:val="restart"/>
            <w:tcBorders>
              <w:top w:val="nil"/>
              <w:left w:val="single" w:color="auto" w:sz="4" w:space="0"/>
              <w:bottom w:val="single" w:color="auto" w:sz="4" w:space="0"/>
              <w:right w:val="single" w:color="auto" w:sz="4" w:space="0"/>
            </w:tcBorders>
            <w:vAlign w:val="center"/>
          </w:tcPr>
          <w:p>
            <w:pPr>
              <w:ind w:left="60"/>
              <w:rPr>
                <w:sz w:val="21"/>
                <w:szCs w:val="21"/>
              </w:rPr>
            </w:pPr>
            <w:r>
              <w:rPr>
                <w:rFonts w:hint="eastAsia"/>
                <w:sz w:val="21"/>
                <w:szCs w:val="21"/>
              </w:rPr>
              <w:t>6</w:t>
            </w:r>
          </w:p>
        </w:tc>
        <w:tc>
          <w:tcPr>
            <w:tcW w:w="1362" w:type="dxa"/>
            <w:vMerge w:val="restart"/>
            <w:tcBorders>
              <w:top w:val="nil"/>
              <w:left w:val="nil"/>
              <w:bottom w:val="single" w:color="auto" w:sz="4" w:space="0"/>
              <w:right w:val="single" w:color="auto" w:sz="4" w:space="0"/>
            </w:tcBorders>
          </w:tcPr>
          <w:p>
            <w:pPr>
              <w:rPr>
                <w:sz w:val="21"/>
                <w:szCs w:val="21"/>
              </w:rPr>
            </w:pPr>
            <w:r>
              <w:rPr>
                <w:rFonts w:hint="eastAsia"/>
                <w:sz w:val="21"/>
                <w:szCs w:val="21"/>
              </w:rPr>
              <w:t>信源监测系统</w:t>
            </w: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BHC2000 2U 工业机箱工业机箱采用高集成度、高灵活性设计，机箱结构紧凑，布局合理。机箱满</w:t>
            </w:r>
          </w:p>
          <w:p>
            <w:pPr>
              <w:rPr>
                <w:sz w:val="21"/>
                <w:szCs w:val="21"/>
              </w:rPr>
            </w:pPr>
            <w:r>
              <w:rPr>
                <w:rFonts w:hint="eastAsia"/>
                <w:sz w:val="21"/>
                <w:szCs w:val="21"/>
              </w:rPr>
              <w:t>配时可插入4 块功能模块，所有的功能模块均采用后装载设计，支持热插拔，每个模块配有各自独立</w:t>
            </w:r>
          </w:p>
          <w:p>
            <w:pPr>
              <w:rPr>
                <w:sz w:val="21"/>
                <w:szCs w:val="21"/>
              </w:rPr>
            </w:pPr>
            <w:r>
              <w:rPr>
                <w:rFonts w:hint="eastAsia"/>
                <w:sz w:val="21"/>
                <w:szCs w:val="21"/>
              </w:rPr>
              <w:t>的接口背板。这种设计不仅方便系统的安装、维护和升级，而且实现了不同接口类型的各种功能模块</w:t>
            </w:r>
          </w:p>
          <w:p>
            <w:pPr>
              <w:rPr>
                <w:sz w:val="21"/>
                <w:szCs w:val="21"/>
              </w:rPr>
            </w:pPr>
            <w:r>
              <w:rPr>
                <w:rFonts w:hint="eastAsia"/>
                <w:sz w:val="21"/>
                <w:szCs w:val="21"/>
              </w:rPr>
              <w:t>在同一机箱中的任意混插。</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北京博汇</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0" w:type="auto"/>
            <w:vMerge w:val="continue"/>
            <w:tcBorders>
              <w:top w:val="nil"/>
              <w:left w:val="nil"/>
              <w:bottom w:val="single" w:color="auto" w:sz="4" w:space="0"/>
              <w:right w:val="single" w:color="auto" w:sz="4" w:space="0"/>
            </w:tcBorders>
            <w:vAlign w:val="center"/>
          </w:tcPr>
          <w:p>
            <w:pPr>
              <w:widowControl/>
              <w:rPr>
                <w:rFonts w:cs="Times New Roman"/>
                <w:kern w:val="2"/>
                <w:sz w:val="21"/>
                <w:szCs w:val="21"/>
              </w:rPr>
            </w:pP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BHP1000冗余热备份电源：</w:t>
            </w:r>
          </w:p>
          <w:p>
            <w:pPr>
              <w:rPr>
                <w:sz w:val="21"/>
                <w:szCs w:val="21"/>
              </w:rPr>
            </w:pPr>
            <w:r>
              <w:rPr>
                <w:rFonts w:hint="eastAsia"/>
                <w:sz w:val="21"/>
                <w:szCs w:val="21"/>
              </w:rPr>
              <w:t>支持多至3路交流输入，支持多路电源模块均衡负载，1＋1或2＋1冗余热备份，提供3路完全并联的</w:t>
            </w:r>
          </w:p>
          <w:p>
            <w:pPr>
              <w:rPr>
                <w:sz w:val="21"/>
                <w:szCs w:val="21"/>
              </w:rPr>
            </w:pPr>
            <w:r>
              <w:rPr>
                <w:rFonts w:hint="eastAsia"/>
                <w:sz w:val="21"/>
                <w:szCs w:val="21"/>
              </w:rPr>
              <w:t>12V直流输出，与采用直流电源输入接口的BHC2000工业机箱配合使用，提供高可靠性的电源</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北京博汇</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0" w:type="auto"/>
            <w:vMerge w:val="continue"/>
            <w:tcBorders>
              <w:top w:val="nil"/>
              <w:left w:val="nil"/>
              <w:bottom w:val="single" w:color="auto" w:sz="4" w:space="0"/>
              <w:right w:val="single" w:color="auto" w:sz="4" w:space="0"/>
            </w:tcBorders>
            <w:vAlign w:val="center"/>
          </w:tcPr>
          <w:p>
            <w:pPr>
              <w:widowControl/>
              <w:rPr>
                <w:rFonts w:cs="Times New Roman"/>
                <w:kern w:val="2"/>
                <w:sz w:val="21"/>
                <w:szCs w:val="21"/>
              </w:rPr>
            </w:pP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BHQP41用于卫星数字电视信号监测。每块板卡可完成1～8路卫星数字电视信号接收、信道参数监测、码流分析、码流TS over IP输出功能，并增加了对DVB-S2信号接收及盲扫功能的支持。板卡可监测的信道指标有：射频信号的锁定状态、载波电平、载噪比（C／N）、Eb／NO、BER（维特比纠错前）、符码率偏移、频点偏移；同时对解调输出的TS 流进行 TR101 290 三级码流错误监测及告警；并将TS流打包成IP流输出。BHQP41同时集成了成熟的防范非法攻击功能，可完成准确的非法攻击及雨雪衰降判断，并同时完成备用信号切换、及手动恢复控制。BHQP41多通道DVB-S／S2卫星数字电视监测卡具有先进的卫星信号防非监测功能，而且博汇卫星安全监控是广电总局85号文件推荐产品即广局技字［2005］85号。</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北京博汇</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4块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0" w:type="auto"/>
            <w:vMerge w:val="continue"/>
            <w:tcBorders>
              <w:top w:val="nil"/>
              <w:left w:val="nil"/>
              <w:bottom w:val="single" w:color="auto" w:sz="4" w:space="0"/>
              <w:right w:val="single" w:color="auto" w:sz="4" w:space="0"/>
            </w:tcBorders>
            <w:vAlign w:val="center"/>
          </w:tcPr>
          <w:p>
            <w:pPr>
              <w:widowControl/>
              <w:rPr>
                <w:rFonts w:cs="Times New Roman"/>
                <w:kern w:val="2"/>
                <w:sz w:val="21"/>
                <w:szCs w:val="21"/>
              </w:rPr>
            </w:pP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BHIP47 多通道IP码流主备切换卡，是针对IP传输码流进行故障切换的解决方案。每块板卡由两个独立处理模块组成，每个处理模块带有4个千兆码流网口和1个百兆控制网口；每模块支持1～8路主备IP码流的输入、1～8路IP码流输出；支持断电直通。板卡通过监测码流中断故障，自动完成主备路切换，同时配合TS301-Switch软件，可以完成手动切换。</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北京博汇</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4块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0" w:type="auto"/>
            <w:vMerge w:val="continue"/>
            <w:tcBorders>
              <w:top w:val="nil"/>
              <w:left w:val="nil"/>
              <w:bottom w:val="single" w:color="auto" w:sz="4" w:space="0"/>
              <w:right w:val="single" w:color="auto" w:sz="4" w:space="0"/>
            </w:tcBorders>
            <w:vAlign w:val="center"/>
          </w:tcPr>
          <w:p>
            <w:pPr>
              <w:widowControl/>
              <w:rPr>
                <w:rFonts w:cs="Times New Roman"/>
                <w:kern w:val="2"/>
                <w:sz w:val="21"/>
                <w:szCs w:val="21"/>
              </w:rPr>
            </w:pP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IP码流垫播专用主机 可以输出SPTS或MPTS码流垫播信号，码流垫播信号不间断自动播出，输出IP信号。垫播码流输出的所有节目的视音频信息可由用户随时自由设定，并可独立设定每个输出流通道的播放文件；每个流可以支持多套数字电视节目，可使用图片式的码流文件、动态图象码流文件的垫播，内部码流可以定制需要输出的图象信息。</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北京博汇</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0" w:type="auto"/>
            <w:vMerge w:val="continue"/>
            <w:tcBorders>
              <w:top w:val="nil"/>
              <w:left w:val="nil"/>
              <w:bottom w:val="single" w:color="auto" w:sz="4" w:space="0"/>
              <w:right w:val="single" w:color="auto" w:sz="4" w:space="0"/>
            </w:tcBorders>
            <w:vAlign w:val="center"/>
          </w:tcPr>
          <w:p>
            <w:pPr>
              <w:widowControl/>
              <w:rPr>
                <w:rFonts w:cs="Times New Roman"/>
                <w:kern w:val="2"/>
                <w:sz w:val="21"/>
                <w:szCs w:val="21"/>
              </w:rPr>
            </w:pP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切换控制专用主机 TrinityAres-TS301码流切换软件，可针对主播出信号出现的信号中断、节目丢失、无法解扰等多种异常情况，实现对传输流的自动切换、手动切换等功能，可完成切换控制、参数设置和设备管理等功能。</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北京博汇</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0" w:type="auto"/>
            <w:vMerge w:val="continue"/>
            <w:tcBorders>
              <w:top w:val="nil"/>
              <w:left w:val="nil"/>
              <w:bottom w:val="single" w:color="auto" w:sz="4" w:space="0"/>
              <w:right w:val="single" w:color="auto" w:sz="4" w:space="0"/>
            </w:tcBorders>
            <w:vAlign w:val="center"/>
          </w:tcPr>
          <w:p>
            <w:pPr>
              <w:widowControl/>
              <w:rPr>
                <w:rFonts w:cs="Times New Roman"/>
                <w:kern w:val="2"/>
                <w:sz w:val="21"/>
                <w:szCs w:val="21"/>
              </w:rPr>
            </w:pP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配置1块BHA31多通道ASI码流监测打包卡，接收转码器卫星信号ASI环出信号，完成多至8路的ASI信号接收、码流分析、码流TS over IP输出功能。板卡对输入的TS流进行 TR101290三级错误监测及告警：并将输入的8路TS流打包，在一个千兆口输出。</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北京博汇</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1块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0" w:type="auto"/>
            <w:vMerge w:val="continue"/>
            <w:tcBorders>
              <w:top w:val="nil"/>
              <w:left w:val="nil"/>
              <w:bottom w:val="single" w:color="auto" w:sz="4" w:space="0"/>
              <w:right w:val="single" w:color="auto" w:sz="4" w:space="0"/>
            </w:tcBorders>
            <w:vAlign w:val="center"/>
          </w:tcPr>
          <w:p>
            <w:pPr>
              <w:widowControl/>
              <w:rPr>
                <w:rFonts w:cs="Times New Roman"/>
                <w:kern w:val="2"/>
                <w:sz w:val="21"/>
                <w:szCs w:val="21"/>
              </w:rPr>
            </w:pP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TrinityAres-SignalEye 码流分析系统</w:t>
            </w:r>
          </w:p>
          <w:p>
            <w:pPr>
              <w:rPr>
                <w:sz w:val="21"/>
                <w:szCs w:val="21"/>
              </w:rPr>
            </w:pPr>
            <w:r>
              <w:rPr>
                <w:rFonts w:hint="eastAsia"/>
                <w:sz w:val="21"/>
                <w:szCs w:val="21"/>
              </w:rPr>
              <w:t>信道码流监测专用主机：I7 2600处理器／4G内存／1TB高速企业专用数据硬盘 TrinityAres-SignalEye信道码流监测软件，支持对多达上百个TS码流进行实时深入分析和监测，支持TR101 290三级错误、模板比对、PID带宽监测、数据广播分析等功能</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北京博汇</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0" w:type="auto"/>
            <w:vMerge w:val="continue"/>
            <w:tcBorders>
              <w:top w:val="nil"/>
              <w:left w:val="nil"/>
              <w:bottom w:val="single" w:color="auto" w:sz="4" w:space="0"/>
              <w:right w:val="single" w:color="auto" w:sz="4" w:space="0"/>
            </w:tcBorders>
            <w:vAlign w:val="center"/>
          </w:tcPr>
          <w:p>
            <w:pPr>
              <w:widowControl/>
              <w:rPr>
                <w:rFonts w:cs="Times New Roman"/>
                <w:kern w:val="2"/>
                <w:sz w:val="21"/>
                <w:szCs w:val="21"/>
              </w:rPr>
            </w:pP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TrinityAres-Display 多画面显示监测报警系统</w:t>
            </w:r>
          </w:p>
          <w:p>
            <w:pPr>
              <w:rPr>
                <w:sz w:val="21"/>
                <w:szCs w:val="21"/>
              </w:rPr>
            </w:pPr>
            <w:r>
              <w:rPr>
                <w:rFonts w:hint="eastAsia"/>
                <w:sz w:val="21"/>
                <w:szCs w:val="21"/>
              </w:rPr>
              <w:t>多画面监测报警专用主机：17 2600处理器／4G内存／2TB高速企业专用数据硬盘</w:t>
            </w:r>
          </w:p>
          <w:p>
            <w:pPr>
              <w:rPr>
                <w:sz w:val="21"/>
                <w:szCs w:val="21"/>
              </w:rPr>
            </w:pPr>
            <w:r>
              <w:rPr>
                <w:rFonts w:hint="eastAsia"/>
                <w:sz w:val="21"/>
                <w:szCs w:val="21"/>
              </w:rPr>
              <w:t>TrinityAres-Display 数字电视多画面显示监测报警软件</w:t>
            </w:r>
          </w:p>
          <w:p>
            <w:pPr>
              <w:rPr>
                <w:sz w:val="21"/>
                <w:szCs w:val="21"/>
              </w:rPr>
            </w:pPr>
            <w:r>
              <w:rPr>
                <w:rFonts w:hint="eastAsia"/>
                <w:sz w:val="21"/>
                <w:szCs w:val="21"/>
              </w:rPr>
              <w:t>接收网络组播的码流，实时解码卫星接收机后输出的数字电视节目视音频，进行实时监测和多画面组合显示 完成码流解码视音频内容实时监测报警、多画面组合和码流监测信息显示、全程录像和故障触发录像等功能，每台2U主机支持多至40套标清电视节目或8套高清节目监测和显示</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北京博汇</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4" w:hRule="atLeast"/>
        </w:trPr>
        <w:tc>
          <w:tcPr>
            <w:tcW w:w="852" w:type="dxa"/>
            <w:vMerge w:val="restart"/>
            <w:tcBorders>
              <w:top w:val="nil"/>
              <w:left w:val="single" w:color="auto" w:sz="4" w:space="0"/>
              <w:bottom w:val="single" w:color="auto" w:sz="4" w:space="0"/>
              <w:right w:val="single" w:color="auto" w:sz="4" w:space="0"/>
            </w:tcBorders>
            <w:vAlign w:val="center"/>
          </w:tcPr>
          <w:p>
            <w:pPr>
              <w:ind w:left="60"/>
              <w:rPr>
                <w:sz w:val="21"/>
                <w:szCs w:val="21"/>
              </w:rPr>
            </w:pPr>
            <w:r>
              <w:rPr>
                <w:rFonts w:hint="eastAsia"/>
                <w:sz w:val="21"/>
                <w:szCs w:val="21"/>
              </w:rPr>
              <w:t>7</w:t>
            </w:r>
          </w:p>
        </w:tc>
        <w:tc>
          <w:tcPr>
            <w:tcW w:w="1362" w:type="dxa"/>
            <w:vMerge w:val="restart"/>
            <w:tcBorders>
              <w:top w:val="nil"/>
              <w:left w:val="nil"/>
              <w:bottom w:val="single" w:color="auto" w:sz="4" w:space="0"/>
              <w:right w:val="single" w:color="auto" w:sz="4" w:space="0"/>
            </w:tcBorders>
          </w:tcPr>
          <w:p>
            <w:pPr>
              <w:rPr>
                <w:sz w:val="21"/>
                <w:szCs w:val="21"/>
              </w:rPr>
            </w:pPr>
            <w:r>
              <w:rPr>
                <w:rFonts w:hint="eastAsia"/>
                <w:sz w:val="21"/>
                <w:szCs w:val="21"/>
              </w:rPr>
              <w:t>系统配套设备</w:t>
            </w: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14路音频混合器 用于多台监测主机汇总的语音报警信息和节目实时音频的监听</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北京博汇</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0" w:type="auto"/>
            <w:vMerge w:val="continue"/>
            <w:tcBorders>
              <w:top w:val="nil"/>
              <w:left w:val="nil"/>
              <w:bottom w:val="single" w:color="auto" w:sz="4" w:space="0"/>
              <w:right w:val="single" w:color="auto" w:sz="4" w:space="0"/>
            </w:tcBorders>
            <w:vAlign w:val="center"/>
          </w:tcPr>
          <w:p>
            <w:pPr>
              <w:widowControl/>
              <w:rPr>
                <w:rFonts w:cs="Times New Roman"/>
                <w:kern w:val="2"/>
                <w:sz w:val="21"/>
                <w:szCs w:val="21"/>
              </w:rPr>
            </w:pP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2.0专业监听音箱</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惠威</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1对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0" w:type="auto"/>
            <w:vMerge w:val="continue"/>
            <w:tcBorders>
              <w:top w:val="nil"/>
              <w:left w:val="nil"/>
              <w:bottom w:val="single" w:color="auto" w:sz="4" w:space="0"/>
              <w:right w:val="single" w:color="auto" w:sz="4" w:space="0"/>
            </w:tcBorders>
            <w:vAlign w:val="center"/>
          </w:tcPr>
          <w:p>
            <w:pPr>
              <w:widowControl/>
              <w:rPr>
                <w:rFonts w:cs="Times New Roman"/>
                <w:kern w:val="2"/>
                <w:sz w:val="21"/>
                <w:szCs w:val="21"/>
              </w:rPr>
            </w:pP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键盘、鼠标、20寸液晶显示器 用于多台监测主机的操作切换，共享1套键盘、鼠标、显示器</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DELL</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0" w:type="auto"/>
            <w:vMerge w:val="continue"/>
            <w:tcBorders>
              <w:top w:val="nil"/>
              <w:left w:val="nil"/>
              <w:bottom w:val="single" w:color="auto" w:sz="4" w:space="0"/>
              <w:right w:val="single" w:color="auto" w:sz="4" w:space="0"/>
            </w:tcBorders>
            <w:vAlign w:val="center"/>
          </w:tcPr>
          <w:p>
            <w:pPr>
              <w:widowControl/>
              <w:rPr>
                <w:rFonts w:cs="Times New Roman"/>
                <w:kern w:val="2"/>
                <w:sz w:val="21"/>
                <w:szCs w:val="21"/>
              </w:rPr>
            </w:pP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8口KVM切换器，用于多台监测主机的操作切换，共享1套键盘、鼠标、显示器</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ATEN</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4"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0" w:type="auto"/>
            <w:vMerge w:val="continue"/>
            <w:tcBorders>
              <w:top w:val="nil"/>
              <w:left w:val="nil"/>
              <w:bottom w:val="single" w:color="auto" w:sz="4" w:space="0"/>
              <w:right w:val="single" w:color="auto" w:sz="4" w:space="0"/>
            </w:tcBorders>
            <w:vAlign w:val="center"/>
          </w:tcPr>
          <w:p>
            <w:pPr>
              <w:widowControl/>
              <w:rPr>
                <w:rFonts w:cs="Times New Roman"/>
                <w:kern w:val="2"/>
                <w:sz w:val="21"/>
                <w:szCs w:val="21"/>
              </w:rPr>
            </w:pP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Cisco-Catalyst 2960G-24TC 24个以太网10／100／1000 端口，其中有4个为两用端口</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CISCO</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0" w:type="auto"/>
            <w:vMerge w:val="continue"/>
            <w:tcBorders>
              <w:top w:val="nil"/>
              <w:left w:val="nil"/>
              <w:bottom w:val="single" w:color="auto" w:sz="4" w:space="0"/>
              <w:right w:val="single" w:color="auto" w:sz="4" w:space="0"/>
            </w:tcBorders>
            <w:vAlign w:val="center"/>
          </w:tcPr>
          <w:p>
            <w:pPr>
              <w:widowControl/>
              <w:rPr>
                <w:rFonts w:cs="Times New Roman"/>
                <w:kern w:val="2"/>
                <w:sz w:val="21"/>
                <w:szCs w:val="21"/>
              </w:rPr>
            </w:pP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Cisco-Catalyst 2960G-48TC 48个以太网10／100／1000 端口，其中有4个为两用端口</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CISCO</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rPr>
                <w:rFonts w:cs="Times New Roman"/>
                <w:kern w:val="2"/>
                <w:sz w:val="21"/>
                <w:szCs w:val="21"/>
              </w:rPr>
            </w:pPr>
          </w:p>
        </w:tc>
        <w:tc>
          <w:tcPr>
            <w:tcW w:w="0" w:type="auto"/>
            <w:vMerge w:val="continue"/>
            <w:tcBorders>
              <w:top w:val="nil"/>
              <w:left w:val="nil"/>
              <w:bottom w:val="single" w:color="auto" w:sz="4" w:space="0"/>
              <w:right w:val="single" w:color="auto" w:sz="4" w:space="0"/>
            </w:tcBorders>
            <w:vAlign w:val="center"/>
          </w:tcPr>
          <w:p>
            <w:pPr>
              <w:widowControl/>
              <w:rPr>
                <w:rFonts w:cs="Times New Roman"/>
                <w:kern w:val="2"/>
                <w:sz w:val="21"/>
                <w:szCs w:val="21"/>
              </w:rPr>
            </w:pPr>
          </w:p>
        </w:tc>
        <w:tc>
          <w:tcPr>
            <w:tcW w:w="530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Cisco Catalyst 2960-24TC 24个以太网10／100端口和2个两用上行端口</w:t>
            </w:r>
          </w:p>
        </w:tc>
        <w:tc>
          <w:tcPr>
            <w:tcW w:w="850"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CISCO</w:t>
            </w:r>
          </w:p>
        </w:tc>
        <w:tc>
          <w:tcPr>
            <w:tcW w:w="851" w:type="dxa"/>
            <w:tcBorders>
              <w:top w:val="single" w:color="auto" w:sz="4" w:space="0"/>
              <w:left w:val="nil"/>
              <w:bottom w:val="single" w:color="auto" w:sz="4" w:space="0"/>
              <w:right w:val="single" w:color="auto" w:sz="4" w:space="0"/>
            </w:tcBorders>
            <w:vAlign w:val="center"/>
          </w:tcPr>
          <w:p>
            <w:pPr>
              <w:jc w:val="center"/>
              <w:rPr>
                <w:sz w:val="21"/>
                <w:szCs w:val="21"/>
              </w:rPr>
            </w:pPr>
            <w:r>
              <w:rPr>
                <w:rFonts w:hint="eastAsia"/>
                <w:sz w:val="21"/>
                <w:szCs w:val="21"/>
              </w:rPr>
              <w:t>1台</w:t>
            </w:r>
          </w:p>
        </w:tc>
      </w:tr>
    </w:tbl>
    <w:p>
      <w:pPr>
        <w:pStyle w:val="42"/>
        <w:rPr>
          <w:rFonts w:ascii="宋体" w:hAnsi="宋体"/>
        </w:rPr>
      </w:pPr>
      <w:r>
        <w:rPr>
          <w:rFonts w:hint="eastAsia" w:ascii="宋体" w:hAnsi="宋体"/>
        </w:rPr>
        <w:t>【5】F201307023-南方广播影视传媒集团IPTV集成播控平台信源接收及安全监测系统扩容采购项目合同</w:t>
      </w:r>
    </w:p>
    <w:p>
      <w:pPr>
        <w:pStyle w:val="42"/>
        <w:ind w:firstLine="420" w:firstLineChars="200"/>
        <w:rPr>
          <w:rFonts w:ascii="宋体" w:hAnsi="宋体"/>
        </w:rPr>
      </w:pPr>
      <w:r>
        <w:rPr>
          <w:rFonts w:hint="eastAsia" w:ascii="宋体" w:hAnsi="宋体"/>
        </w:rPr>
        <w:t>本合同标的的货物均在使用，其中1-2项在计划更替，因此本合同只针对3-4项拟计划续保至2025年12月31日。</w:t>
      </w:r>
    </w:p>
    <w:tbl>
      <w:tblPr>
        <w:tblStyle w:val="19"/>
        <w:tblW w:w="9375" w:type="dxa"/>
        <w:tblInd w:w="-318" w:type="dxa"/>
        <w:tblLayout w:type="fixed"/>
        <w:tblCellMar>
          <w:top w:w="0" w:type="dxa"/>
          <w:left w:w="108" w:type="dxa"/>
          <w:bottom w:w="0" w:type="dxa"/>
          <w:right w:w="108" w:type="dxa"/>
        </w:tblCellMar>
      </w:tblPr>
      <w:tblGrid>
        <w:gridCol w:w="875"/>
        <w:gridCol w:w="1559"/>
        <w:gridCol w:w="5100"/>
        <w:gridCol w:w="1133"/>
        <w:gridCol w:w="708"/>
      </w:tblGrid>
      <w:tr>
        <w:trPr>
          <w:trHeight w:val="547" w:hRule="atLeast"/>
          <w:tblHeader/>
        </w:trPr>
        <w:tc>
          <w:tcPr>
            <w:tcW w:w="87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序号</w:t>
            </w:r>
          </w:p>
        </w:tc>
        <w:tc>
          <w:tcPr>
            <w:tcW w:w="1560" w:type="dxa"/>
            <w:tcBorders>
              <w:top w:val="single" w:color="auto" w:sz="8" w:space="0"/>
              <w:left w:val="nil"/>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货物名称</w:t>
            </w:r>
          </w:p>
        </w:tc>
        <w:tc>
          <w:tcPr>
            <w:tcW w:w="5103" w:type="dxa"/>
            <w:tcBorders>
              <w:top w:val="single" w:color="auto" w:sz="8" w:space="0"/>
              <w:left w:val="nil"/>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品牌、规格型号、主要技术参数</w:t>
            </w:r>
          </w:p>
        </w:tc>
        <w:tc>
          <w:tcPr>
            <w:tcW w:w="1134" w:type="dxa"/>
            <w:tcBorders>
              <w:top w:val="single" w:color="auto" w:sz="8" w:space="0"/>
              <w:left w:val="nil"/>
              <w:bottom w:val="single" w:color="auto" w:sz="8" w:space="0"/>
              <w:right w:val="single" w:color="auto" w:sz="8" w:space="0"/>
            </w:tcBorders>
            <w:shd w:val="clear" w:color="auto" w:fill="FFFFFF"/>
            <w:vAlign w:val="center"/>
          </w:tcPr>
          <w:p>
            <w:pPr>
              <w:widowControl/>
              <w:jc w:val="center"/>
              <w:rPr>
                <w:b/>
                <w:bCs/>
                <w:sz w:val="21"/>
                <w:szCs w:val="21"/>
              </w:rPr>
            </w:pPr>
            <w:r>
              <w:rPr>
                <w:rFonts w:hint="eastAsia"/>
                <w:b/>
                <w:bCs/>
                <w:sz w:val="21"/>
                <w:szCs w:val="21"/>
              </w:rPr>
              <w:t>制造商</w:t>
            </w:r>
          </w:p>
        </w:tc>
        <w:tc>
          <w:tcPr>
            <w:tcW w:w="708" w:type="dxa"/>
            <w:tcBorders>
              <w:top w:val="single" w:color="auto" w:sz="8" w:space="0"/>
              <w:left w:val="nil"/>
              <w:bottom w:val="single" w:color="auto" w:sz="8" w:space="0"/>
              <w:right w:val="single" w:color="auto" w:sz="8" w:space="0"/>
            </w:tcBorders>
            <w:shd w:val="clear" w:color="auto" w:fill="FFFFFF"/>
            <w:vAlign w:val="center"/>
          </w:tcPr>
          <w:p>
            <w:pPr>
              <w:widowControl/>
              <w:jc w:val="center"/>
              <w:rPr>
                <w:b/>
                <w:bCs/>
                <w:sz w:val="21"/>
                <w:szCs w:val="21"/>
              </w:rPr>
            </w:pPr>
            <w:r>
              <w:rPr>
                <w:rFonts w:hint="eastAsia"/>
                <w:b/>
                <w:bCs/>
                <w:sz w:val="21"/>
                <w:szCs w:val="21"/>
              </w:rPr>
              <w:t>数量</w:t>
            </w:r>
          </w:p>
        </w:tc>
      </w:tr>
      <w:tr>
        <w:trPr>
          <w:trHeight w:val="280" w:hRule="atLeast"/>
        </w:trPr>
        <w:tc>
          <w:tcPr>
            <w:tcW w:w="875" w:type="dxa"/>
            <w:vMerge w:val="restart"/>
            <w:tcBorders>
              <w:top w:val="nil"/>
              <w:left w:val="single" w:color="auto" w:sz="8" w:space="0"/>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1</w:t>
            </w:r>
          </w:p>
        </w:tc>
        <w:tc>
          <w:tcPr>
            <w:tcW w:w="1560" w:type="dxa"/>
            <w:vMerge w:val="restart"/>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高标清数字卫星接收解码器</w:t>
            </w:r>
          </w:p>
        </w:tc>
        <w:tc>
          <w:tcPr>
            <w:tcW w:w="5103" w:type="dxa"/>
            <w:tcBorders>
              <w:top w:val="nil"/>
              <w:left w:val="nil"/>
              <w:bottom w:val="nil"/>
              <w:right w:val="single" w:color="auto" w:sz="8" w:space="0"/>
            </w:tcBorders>
            <w:shd w:val="clear" w:color="auto" w:fill="FFFFFF"/>
            <w:vAlign w:val="center"/>
          </w:tcPr>
          <w:p>
            <w:pPr>
              <w:widowControl/>
              <w:rPr>
                <w:sz w:val="21"/>
                <w:szCs w:val="21"/>
              </w:rPr>
            </w:pPr>
            <w:r>
              <w:rPr>
                <w:rFonts w:hint="eastAsia"/>
                <w:sz w:val="21"/>
                <w:szCs w:val="21"/>
              </w:rPr>
              <w:t>PVR7000</w:t>
            </w:r>
          </w:p>
        </w:tc>
        <w:tc>
          <w:tcPr>
            <w:tcW w:w="1134"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美国哈雷</w:t>
            </w:r>
          </w:p>
        </w:tc>
        <w:tc>
          <w:tcPr>
            <w:tcW w:w="708"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3台</w:t>
            </w:r>
          </w:p>
        </w:tc>
      </w:tr>
      <w:tr>
        <w:trPr>
          <w:trHeight w:val="720" w:hRule="atLeast"/>
        </w:trPr>
        <w:tc>
          <w:tcPr>
            <w:tcW w:w="875" w:type="dxa"/>
            <w:vMerge w:val="continue"/>
            <w:tcBorders>
              <w:top w:val="nil"/>
              <w:left w:val="single" w:color="auto" w:sz="8" w:space="0"/>
              <w:bottom w:val="single" w:color="auto" w:sz="8" w:space="0"/>
              <w:right w:val="single" w:color="auto" w:sz="8" w:space="0"/>
            </w:tcBorders>
            <w:vAlign w:val="center"/>
          </w:tcPr>
          <w:p>
            <w:pPr>
              <w:widowControl/>
              <w:rPr>
                <w:rFonts w:cs="Times New Roman"/>
                <w:b/>
                <w:bCs/>
                <w:sz w:val="21"/>
                <w:szCs w:val="21"/>
              </w:rPr>
            </w:pPr>
          </w:p>
        </w:tc>
        <w:tc>
          <w:tcPr>
            <w:tcW w:w="8505"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5103" w:type="dxa"/>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1RU机箱，支持四路DVB-S QPSK输入，同时支持四路卫星信号解调。配有两个CAM插槽。两路ASI和IP双输出</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8"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trHeight w:val="280" w:hRule="atLeast"/>
        </w:trPr>
        <w:tc>
          <w:tcPr>
            <w:tcW w:w="875" w:type="dxa"/>
            <w:tcBorders>
              <w:top w:val="nil"/>
              <w:left w:val="single" w:color="auto" w:sz="8" w:space="0"/>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2</w:t>
            </w:r>
          </w:p>
        </w:tc>
        <w:tc>
          <w:tcPr>
            <w:tcW w:w="8505" w:type="dxa"/>
            <w:gridSpan w:val="4"/>
            <w:tcBorders>
              <w:top w:val="single" w:color="auto" w:sz="8" w:space="0"/>
              <w:left w:val="nil"/>
              <w:bottom w:val="single" w:color="auto" w:sz="8" w:space="0"/>
              <w:right w:val="single" w:color="000000" w:sz="8" w:space="0"/>
            </w:tcBorders>
            <w:shd w:val="clear" w:color="auto" w:fill="FFFFFF"/>
            <w:vAlign w:val="center"/>
          </w:tcPr>
          <w:p>
            <w:pPr>
              <w:widowControl/>
              <w:rPr>
                <w:b/>
                <w:bCs/>
                <w:sz w:val="21"/>
                <w:szCs w:val="21"/>
              </w:rPr>
            </w:pPr>
            <w:r>
              <w:rPr>
                <w:rFonts w:hint="eastAsia"/>
                <w:b/>
                <w:bCs/>
                <w:sz w:val="21"/>
                <w:szCs w:val="21"/>
              </w:rPr>
              <w:t>转码器</w:t>
            </w:r>
          </w:p>
        </w:tc>
      </w:tr>
      <w:tr>
        <w:trPr>
          <w:trHeight w:val="280" w:hRule="atLeast"/>
        </w:trPr>
        <w:tc>
          <w:tcPr>
            <w:tcW w:w="875" w:type="dxa"/>
            <w:vMerge w:val="restart"/>
            <w:tcBorders>
              <w:top w:val="nil"/>
              <w:left w:val="single" w:color="auto" w:sz="8" w:space="0"/>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2.1</w:t>
            </w:r>
          </w:p>
        </w:tc>
        <w:tc>
          <w:tcPr>
            <w:tcW w:w="1560" w:type="dxa"/>
            <w:vMerge w:val="restart"/>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转码器机框</w:t>
            </w:r>
          </w:p>
        </w:tc>
        <w:tc>
          <w:tcPr>
            <w:tcW w:w="5103" w:type="dxa"/>
            <w:tcBorders>
              <w:top w:val="nil"/>
              <w:left w:val="nil"/>
              <w:bottom w:val="nil"/>
              <w:right w:val="single" w:color="auto" w:sz="8" w:space="0"/>
            </w:tcBorders>
            <w:shd w:val="clear" w:color="auto" w:fill="FFFFFF"/>
            <w:vAlign w:val="center"/>
          </w:tcPr>
          <w:p>
            <w:pPr>
              <w:widowControl/>
              <w:rPr>
                <w:sz w:val="21"/>
                <w:szCs w:val="21"/>
              </w:rPr>
            </w:pPr>
            <w:r>
              <w:rPr>
                <w:rFonts w:hint="eastAsia"/>
                <w:sz w:val="21"/>
                <w:szCs w:val="21"/>
              </w:rPr>
              <w:t>PRM-1K-CHS-AC-1GR</w:t>
            </w:r>
          </w:p>
        </w:tc>
        <w:tc>
          <w:tcPr>
            <w:tcW w:w="1134"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美国哈雷</w:t>
            </w:r>
          </w:p>
        </w:tc>
        <w:tc>
          <w:tcPr>
            <w:tcW w:w="708"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1台</w:t>
            </w:r>
          </w:p>
        </w:tc>
      </w:tr>
      <w:tr>
        <w:trPr>
          <w:trHeight w:val="960" w:hRule="atLeast"/>
        </w:trPr>
        <w:tc>
          <w:tcPr>
            <w:tcW w:w="875" w:type="dxa"/>
            <w:vMerge w:val="continue"/>
            <w:tcBorders>
              <w:top w:val="nil"/>
              <w:left w:val="single" w:color="auto" w:sz="8" w:space="0"/>
              <w:bottom w:val="single" w:color="auto" w:sz="8" w:space="0"/>
              <w:right w:val="single" w:color="auto" w:sz="8" w:space="0"/>
            </w:tcBorders>
            <w:vAlign w:val="center"/>
          </w:tcPr>
          <w:p>
            <w:pPr>
              <w:widowControl/>
              <w:rPr>
                <w:rFonts w:cs="Times New Roman"/>
                <w:b/>
                <w:bCs/>
                <w:sz w:val="21"/>
                <w:szCs w:val="21"/>
              </w:rPr>
            </w:pPr>
          </w:p>
        </w:tc>
        <w:tc>
          <w:tcPr>
            <w:tcW w:w="8505"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5103" w:type="dxa"/>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Prostream 1000转码器具有5个I/O槽位，I/O槽位可配置ASI/Gbe模块实现ASI或IP输入输出。 同时具有4个转码槽位。满配置转码卡可以支持60路标清或20路高清转码处理</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8"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trHeight w:val="280" w:hRule="atLeast"/>
        </w:trPr>
        <w:tc>
          <w:tcPr>
            <w:tcW w:w="875" w:type="dxa"/>
            <w:vMerge w:val="restart"/>
            <w:tcBorders>
              <w:top w:val="nil"/>
              <w:left w:val="single" w:color="auto" w:sz="8" w:space="0"/>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2.2</w:t>
            </w:r>
          </w:p>
        </w:tc>
        <w:tc>
          <w:tcPr>
            <w:tcW w:w="1560" w:type="dxa"/>
            <w:vMerge w:val="restart"/>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Gbe I/O模块</w:t>
            </w:r>
          </w:p>
        </w:tc>
        <w:tc>
          <w:tcPr>
            <w:tcW w:w="5103" w:type="dxa"/>
            <w:tcBorders>
              <w:top w:val="nil"/>
              <w:left w:val="nil"/>
              <w:bottom w:val="nil"/>
              <w:right w:val="single" w:color="auto" w:sz="8" w:space="0"/>
            </w:tcBorders>
            <w:shd w:val="clear" w:color="auto" w:fill="FFFFFF"/>
            <w:vAlign w:val="center"/>
          </w:tcPr>
          <w:p>
            <w:pPr>
              <w:widowControl/>
              <w:rPr>
                <w:sz w:val="21"/>
                <w:szCs w:val="21"/>
              </w:rPr>
            </w:pPr>
            <w:r>
              <w:rPr>
                <w:rFonts w:hint="eastAsia"/>
                <w:sz w:val="21"/>
                <w:szCs w:val="21"/>
              </w:rPr>
              <w:t>PRM-1K-IOM-GBE-0002</w:t>
            </w:r>
          </w:p>
        </w:tc>
        <w:tc>
          <w:tcPr>
            <w:tcW w:w="1134"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美国哈雷</w:t>
            </w:r>
          </w:p>
        </w:tc>
        <w:tc>
          <w:tcPr>
            <w:tcW w:w="708"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2块</w:t>
            </w:r>
          </w:p>
        </w:tc>
      </w:tr>
      <w:tr>
        <w:trPr>
          <w:trHeight w:val="280" w:hRule="atLeast"/>
        </w:trPr>
        <w:tc>
          <w:tcPr>
            <w:tcW w:w="875" w:type="dxa"/>
            <w:vMerge w:val="continue"/>
            <w:tcBorders>
              <w:top w:val="nil"/>
              <w:left w:val="single" w:color="auto" w:sz="8" w:space="0"/>
              <w:bottom w:val="single" w:color="auto" w:sz="8" w:space="0"/>
              <w:right w:val="single" w:color="auto" w:sz="8" w:space="0"/>
            </w:tcBorders>
            <w:vAlign w:val="center"/>
          </w:tcPr>
          <w:p>
            <w:pPr>
              <w:widowControl/>
              <w:rPr>
                <w:rFonts w:cs="Times New Roman"/>
                <w:b/>
                <w:bCs/>
                <w:sz w:val="21"/>
                <w:szCs w:val="21"/>
              </w:rPr>
            </w:pPr>
          </w:p>
        </w:tc>
        <w:tc>
          <w:tcPr>
            <w:tcW w:w="8505"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5103" w:type="dxa"/>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提供2个Gbe接口，可配置为主备</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8"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trHeight w:val="280" w:hRule="atLeast"/>
        </w:trPr>
        <w:tc>
          <w:tcPr>
            <w:tcW w:w="875" w:type="dxa"/>
            <w:vMerge w:val="restart"/>
            <w:tcBorders>
              <w:top w:val="nil"/>
              <w:left w:val="single" w:color="auto" w:sz="8" w:space="0"/>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2.3</w:t>
            </w:r>
          </w:p>
        </w:tc>
        <w:tc>
          <w:tcPr>
            <w:tcW w:w="1560" w:type="dxa"/>
            <w:vMerge w:val="restart"/>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ACE转码模块</w:t>
            </w:r>
          </w:p>
        </w:tc>
        <w:tc>
          <w:tcPr>
            <w:tcW w:w="5103" w:type="dxa"/>
            <w:tcBorders>
              <w:top w:val="nil"/>
              <w:left w:val="nil"/>
              <w:bottom w:val="nil"/>
              <w:right w:val="single" w:color="auto" w:sz="8" w:space="0"/>
            </w:tcBorders>
            <w:shd w:val="clear" w:color="auto" w:fill="FFFFFF"/>
            <w:vAlign w:val="center"/>
          </w:tcPr>
          <w:p>
            <w:pPr>
              <w:widowControl/>
              <w:rPr>
                <w:sz w:val="21"/>
                <w:szCs w:val="21"/>
              </w:rPr>
            </w:pPr>
            <w:r>
              <w:rPr>
                <w:rFonts w:hint="eastAsia"/>
                <w:sz w:val="21"/>
                <w:szCs w:val="21"/>
              </w:rPr>
              <w:t>PRM-1K-IPC-ACE-0001</w:t>
            </w:r>
          </w:p>
        </w:tc>
        <w:tc>
          <w:tcPr>
            <w:tcW w:w="1134"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美国哈雷</w:t>
            </w:r>
          </w:p>
        </w:tc>
        <w:tc>
          <w:tcPr>
            <w:tcW w:w="708"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2块</w:t>
            </w:r>
          </w:p>
        </w:tc>
      </w:tr>
      <w:tr>
        <w:trPr>
          <w:trHeight w:val="480" w:hRule="atLeast"/>
        </w:trPr>
        <w:tc>
          <w:tcPr>
            <w:tcW w:w="875" w:type="dxa"/>
            <w:vMerge w:val="continue"/>
            <w:tcBorders>
              <w:top w:val="nil"/>
              <w:left w:val="single" w:color="auto" w:sz="8" w:space="0"/>
              <w:bottom w:val="single" w:color="auto" w:sz="8" w:space="0"/>
              <w:right w:val="single" w:color="auto" w:sz="8" w:space="0"/>
            </w:tcBorders>
            <w:vAlign w:val="center"/>
          </w:tcPr>
          <w:p>
            <w:pPr>
              <w:widowControl/>
              <w:rPr>
                <w:rFonts w:cs="Times New Roman"/>
                <w:b/>
                <w:bCs/>
                <w:sz w:val="21"/>
                <w:szCs w:val="21"/>
              </w:rPr>
            </w:pPr>
          </w:p>
        </w:tc>
        <w:tc>
          <w:tcPr>
            <w:tcW w:w="8505"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5103" w:type="dxa"/>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通用转码模块，支持MPEG2/H.264 SD/HD转码，通过软件授权控制</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8"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trHeight w:val="280" w:hRule="atLeast"/>
        </w:trPr>
        <w:tc>
          <w:tcPr>
            <w:tcW w:w="875" w:type="dxa"/>
            <w:vMerge w:val="restart"/>
            <w:tcBorders>
              <w:top w:val="nil"/>
              <w:left w:val="single" w:color="auto" w:sz="8" w:space="0"/>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2.4</w:t>
            </w:r>
          </w:p>
        </w:tc>
        <w:tc>
          <w:tcPr>
            <w:tcW w:w="1560" w:type="dxa"/>
            <w:vMerge w:val="restart"/>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ACE标清转码授权</w:t>
            </w:r>
          </w:p>
        </w:tc>
        <w:tc>
          <w:tcPr>
            <w:tcW w:w="5103" w:type="dxa"/>
            <w:tcBorders>
              <w:top w:val="nil"/>
              <w:left w:val="nil"/>
              <w:bottom w:val="nil"/>
              <w:right w:val="single" w:color="auto" w:sz="8" w:space="0"/>
            </w:tcBorders>
            <w:shd w:val="clear" w:color="auto" w:fill="FFFFFF"/>
            <w:vAlign w:val="center"/>
          </w:tcPr>
          <w:p>
            <w:pPr>
              <w:widowControl/>
              <w:rPr>
                <w:sz w:val="21"/>
                <w:szCs w:val="21"/>
              </w:rPr>
            </w:pPr>
            <w:r>
              <w:rPr>
                <w:rFonts w:hint="eastAsia"/>
                <w:sz w:val="21"/>
                <w:szCs w:val="21"/>
              </w:rPr>
              <w:t>FW-PRM-1K-ACE-AVC-OUT-SD</w:t>
            </w:r>
          </w:p>
        </w:tc>
        <w:tc>
          <w:tcPr>
            <w:tcW w:w="1134"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美国哈雷</w:t>
            </w:r>
          </w:p>
        </w:tc>
        <w:tc>
          <w:tcPr>
            <w:tcW w:w="708"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13套</w:t>
            </w:r>
          </w:p>
        </w:tc>
      </w:tr>
      <w:tr>
        <w:trPr>
          <w:trHeight w:val="280" w:hRule="atLeast"/>
        </w:trPr>
        <w:tc>
          <w:tcPr>
            <w:tcW w:w="875" w:type="dxa"/>
            <w:vMerge w:val="continue"/>
            <w:tcBorders>
              <w:top w:val="nil"/>
              <w:left w:val="single" w:color="auto" w:sz="8" w:space="0"/>
              <w:bottom w:val="single" w:color="auto" w:sz="8" w:space="0"/>
              <w:right w:val="single" w:color="auto" w:sz="8" w:space="0"/>
            </w:tcBorders>
            <w:vAlign w:val="center"/>
          </w:tcPr>
          <w:p>
            <w:pPr>
              <w:widowControl/>
              <w:rPr>
                <w:rFonts w:cs="Times New Roman"/>
                <w:b/>
                <w:bCs/>
                <w:sz w:val="21"/>
                <w:szCs w:val="21"/>
              </w:rPr>
            </w:pPr>
          </w:p>
        </w:tc>
        <w:tc>
          <w:tcPr>
            <w:tcW w:w="8505"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5103" w:type="dxa"/>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MPEG2/H.264标清转码授权</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8"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trHeight w:val="280" w:hRule="atLeast"/>
        </w:trPr>
        <w:tc>
          <w:tcPr>
            <w:tcW w:w="875" w:type="dxa"/>
            <w:vMerge w:val="restart"/>
            <w:tcBorders>
              <w:top w:val="nil"/>
              <w:left w:val="single" w:color="auto" w:sz="8" w:space="0"/>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2.5</w:t>
            </w:r>
          </w:p>
        </w:tc>
        <w:tc>
          <w:tcPr>
            <w:tcW w:w="1560" w:type="dxa"/>
            <w:vMerge w:val="restart"/>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ACE高清转码授权</w:t>
            </w:r>
          </w:p>
        </w:tc>
        <w:tc>
          <w:tcPr>
            <w:tcW w:w="5103" w:type="dxa"/>
            <w:tcBorders>
              <w:top w:val="nil"/>
              <w:left w:val="nil"/>
              <w:bottom w:val="nil"/>
              <w:right w:val="single" w:color="auto" w:sz="8" w:space="0"/>
            </w:tcBorders>
            <w:shd w:val="clear" w:color="auto" w:fill="FFFFFF"/>
          </w:tcPr>
          <w:p>
            <w:pPr>
              <w:widowControl/>
              <w:rPr>
                <w:sz w:val="21"/>
                <w:szCs w:val="21"/>
              </w:rPr>
            </w:pPr>
            <w:r>
              <w:rPr>
                <w:rFonts w:hint="eastAsia"/>
                <w:sz w:val="21"/>
                <w:szCs w:val="21"/>
              </w:rPr>
              <w:t>FW-PRM-1K-ACE-AVC-OUT-HD</w:t>
            </w:r>
          </w:p>
        </w:tc>
        <w:tc>
          <w:tcPr>
            <w:tcW w:w="1134"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美国哈雷</w:t>
            </w:r>
          </w:p>
        </w:tc>
        <w:tc>
          <w:tcPr>
            <w:tcW w:w="708"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5套</w:t>
            </w:r>
          </w:p>
        </w:tc>
      </w:tr>
      <w:tr>
        <w:trPr>
          <w:trHeight w:val="280" w:hRule="atLeast"/>
        </w:trPr>
        <w:tc>
          <w:tcPr>
            <w:tcW w:w="875" w:type="dxa"/>
            <w:vMerge w:val="continue"/>
            <w:tcBorders>
              <w:top w:val="nil"/>
              <w:left w:val="single" w:color="auto" w:sz="8" w:space="0"/>
              <w:bottom w:val="single" w:color="auto" w:sz="8" w:space="0"/>
              <w:right w:val="single" w:color="auto" w:sz="8" w:space="0"/>
            </w:tcBorders>
            <w:vAlign w:val="center"/>
          </w:tcPr>
          <w:p>
            <w:pPr>
              <w:widowControl/>
              <w:rPr>
                <w:rFonts w:cs="Times New Roman"/>
                <w:b/>
                <w:bCs/>
                <w:sz w:val="21"/>
                <w:szCs w:val="21"/>
              </w:rPr>
            </w:pPr>
          </w:p>
        </w:tc>
        <w:tc>
          <w:tcPr>
            <w:tcW w:w="8505"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5103" w:type="dxa"/>
            <w:tcBorders>
              <w:top w:val="nil"/>
              <w:left w:val="nil"/>
              <w:bottom w:val="single" w:color="auto" w:sz="8" w:space="0"/>
              <w:right w:val="single" w:color="auto" w:sz="8" w:space="0"/>
            </w:tcBorders>
            <w:shd w:val="clear" w:color="auto" w:fill="FFFFFF"/>
          </w:tcPr>
          <w:p>
            <w:pPr>
              <w:widowControl/>
              <w:rPr>
                <w:sz w:val="21"/>
                <w:szCs w:val="21"/>
              </w:rPr>
            </w:pPr>
            <w:r>
              <w:rPr>
                <w:rFonts w:hint="eastAsia"/>
                <w:sz w:val="21"/>
                <w:szCs w:val="21"/>
              </w:rPr>
              <w:t>MPEG2/H.264高清视频转码授权</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8"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trHeight w:val="280" w:hRule="atLeast"/>
        </w:trPr>
        <w:tc>
          <w:tcPr>
            <w:tcW w:w="875" w:type="dxa"/>
            <w:vMerge w:val="restart"/>
            <w:tcBorders>
              <w:top w:val="nil"/>
              <w:left w:val="single" w:color="auto" w:sz="8" w:space="0"/>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2.6</w:t>
            </w:r>
          </w:p>
        </w:tc>
        <w:tc>
          <w:tcPr>
            <w:tcW w:w="1560" w:type="dxa"/>
            <w:vMerge w:val="restart"/>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SFP电口模块</w:t>
            </w:r>
          </w:p>
        </w:tc>
        <w:tc>
          <w:tcPr>
            <w:tcW w:w="5103" w:type="dxa"/>
            <w:tcBorders>
              <w:top w:val="nil"/>
              <w:left w:val="nil"/>
              <w:bottom w:val="nil"/>
              <w:right w:val="single" w:color="auto" w:sz="8" w:space="0"/>
            </w:tcBorders>
            <w:shd w:val="clear" w:color="auto" w:fill="FFFFFF"/>
            <w:vAlign w:val="center"/>
          </w:tcPr>
          <w:p>
            <w:pPr>
              <w:widowControl/>
              <w:rPr>
                <w:sz w:val="21"/>
                <w:szCs w:val="21"/>
              </w:rPr>
            </w:pPr>
            <w:r>
              <w:rPr>
                <w:rFonts w:hint="eastAsia"/>
                <w:sz w:val="21"/>
                <w:szCs w:val="21"/>
              </w:rPr>
              <w:t>GSF9100-02</w:t>
            </w:r>
          </w:p>
        </w:tc>
        <w:tc>
          <w:tcPr>
            <w:tcW w:w="1134"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美国哈雷</w:t>
            </w:r>
          </w:p>
        </w:tc>
        <w:tc>
          <w:tcPr>
            <w:tcW w:w="708"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4</w:t>
            </w:r>
          </w:p>
        </w:tc>
      </w:tr>
      <w:tr>
        <w:trPr>
          <w:trHeight w:val="280" w:hRule="atLeast"/>
        </w:trPr>
        <w:tc>
          <w:tcPr>
            <w:tcW w:w="875" w:type="dxa"/>
            <w:vMerge w:val="continue"/>
            <w:tcBorders>
              <w:top w:val="nil"/>
              <w:left w:val="single" w:color="auto" w:sz="8" w:space="0"/>
              <w:bottom w:val="single" w:color="auto" w:sz="8" w:space="0"/>
              <w:right w:val="single" w:color="auto" w:sz="8" w:space="0"/>
            </w:tcBorders>
            <w:vAlign w:val="center"/>
          </w:tcPr>
          <w:p>
            <w:pPr>
              <w:widowControl/>
              <w:rPr>
                <w:rFonts w:cs="Times New Roman"/>
                <w:b/>
                <w:bCs/>
                <w:sz w:val="21"/>
                <w:szCs w:val="21"/>
              </w:rPr>
            </w:pPr>
          </w:p>
        </w:tc>
        <w:tc>
          <w:tcPr>
            <w:tcW w:w="8505"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5103" w:type="dxa"/>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SFP电口适配模块</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8"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trHeight w:val="2197" w:hRule="atLeast"/>
        </w:trPr>
        <w:tc>
          <w:tcPr>
            <w:tcW w:w="875" w:type="dxa"/>
            <w:vMerge w:val="restart"/>
            <w:tcBorders>
              <w:top w:val="nil"/>
              <w:left w:val="single" w:color="auto" w:sz="8" w:space="0"/>
              <w:bottom w:val="single" w:color="000000" w:sz="8" w:space="0"/>
              <w:right w:val="single" w:color="auto" w:sz="8" w:space="0"/>
            </w:tcBorders>
            <w:vAlign w:val="center"/>
          </w:tcPr>
          <w:p>
            <w:pPr>
              <w:widowControl/>
              <w:rPr>
                <w:sz w:val="21"/>
                <w:szCs w:val="21"/>
              </w:rPr>
            </w:pPr>
            <w:r>
              <w:rPr>
                <w:rFonts w:hint="eastAsia"/>
                <w:sz w:val="21"/>
                <w:szCs w:val="21"/>
              </w:rPr>
              <w:t>3</w:t>
            </w:r>
          </w:p>
        </w:tc>
        <w:tc>
          <w:tcPr>
            <w:tcW w:w="1560" w:type="dxa"/>
            <w:vMerge w:val="restart"/>
            <w:tcBorders>
              <w:top w:val="nil"/>
              <w:left w:val="nil"/>
              <w:bottom w:val="single" w:color="000000" w:sz="8" w:space="0"/>
              <w:right w:val="single" w:color="auto" w:sz="8" w:space="0"/>
            </w:tcBorders>
            <w:vAlign w:val="center"/>
          </w:tcPr>
          <w:p>
            <w:pPr>
              <w:widowControl/>
              <w:jc w:val="center"/>
              <w:rPr>
                <w:sz w:val="21"/>
                <w:szCs w:val="21"/>
              </w:rPr>
            </w:pPr>
            <w:r>
              <w:rPr>
                <w:rFonts w:hint="eastAsia"/>
                <w:sz w:val="21"/>
                <w:szCs w:val="21"/>
              </w:rPr>
              <w:t>信源监测系统</w:t>
            </w:r>
          </w:p>
        </w:tc>
        <w:tc>
          <w:tcPr>
            <w:tcW w:w="5103" w:type="dxa"/>
            <w:tcBorders>
              <w:top w:val="nil"/>
              <w:left w:val="nil"/>
              <w:bottom w:val="single" w:color="auto" w:sz="8" w:space="0"/>
              <w:right w:val="single" w:color="auto" w:sz="8" w:space="0"/>
            </w:tcBorders>
            <w:vAlign w:val="center"/>
          </w:tcPr>
          <w:p>
            <w:pPr>
              <w:widowControl/>
              <w:ind w:firstLine="420" w:firstLineChars="200"/>
              <w:rPr>
                <w:sz w:val="21"/>
                <w:szCs w:val="21"/>
              </w:rPr>
            </w:pPr>
            <w:r>
              <w:rPr>
                <w:rFonts w:hint="eastAsia"/>
                <w:sz w:val="21"/>
                <w:szCs w:val="21"/>
              </w:rPr>
              <w:t>BHC2000 2U工业机箱工业机箱采用高集成度、高灵活性设计，机箱结构紧凑，布局合理。机箱满配时可插入4块功能模块，所有的功能模块均采用后装载设计，支持热插拔，每个模块配有各自独立的接口背板。这种设计不仅方便系统的安装、维护和升级，而且实现了不同接口类型的各种功能模块在同一机箱中的任意混插。</w:t>
            </w:r>
          </w:p>
        </w:tc>
        <w:tc>
          <w:tcPr>
            <w:tcW w:w="1134" w:type="dxa"/>
            <w:tcBorders>
              <w:top w:val="nil"/>
              <w:left w:val="nil"/>
              <w:bottom w:val="single" w:color="auto" w:sz="8" w:space="0"/>
              <w:right w:val="single" w:color="auto" w:sz="8" w:space="0"/>
            </w:tcBorders>
            <w:vAlign w:val="center"/>
          </w:tcPr>
          <w:p>
            <w:pPr>
              <w:widowControl/>
              <w:jc w:val="center"/>
              <w:rPr>
                <w:sz w:val="21"/>
                <w:szCs w:val="21"/>
              </w:rPr>
            </w:pPr>
            <w:r>
              <w:rPr>
                <w:rFonts w:hint="eastAsia"/>
                <w:sz w:val="21"/>
                <w:szCs w:val="21"/>
              </w:rPr>
              <w:t>北京博汇</w:t>
            </w:r>
          </w:p>
        </w:tc>
        <w:tc>
          <w:tcPr>
            <w:tcW w:w="708" w:type="dxa"/>
            <w:tcBorders>
              <w:top w:val="nil"/>
              <w:left w:val="nil"/>
              <w:bottom w:val="single" w:color="auto" w:sz="8" w:space="0"/>
              <w:right w:val="single" w:color="auto" w:sz="8" w:space="0"/>
            </w:tcBorders>
            <w:vAlign w:val="center"/>
          </w:tcPr>
          <w:p>
            <w:pPr>
              <w:widowControl/>
              <w:jc w:val="center"/>
              <w:rPr>
                <w:sz w:val="21"/>
                <w:szCs w:val="21"/>
              </w:rPr>
            </w:pPr>
            <w:r>
              <w:rPr>
                <w:rFonts w:hint="eastAsia"/>
                <w:sz w:val="21"/>
                <w:szCs w:val="21"/>
              </w:rPr>
              <w:t>1台</w:t>
            </w:r>
          </w:p>
        </w:tc>
      </w:tr>
      <w:tr>
        <w:trPr>
          <w:trHeight w:val="280" w:hRule="atLeast"/>
        </w:trPr>
        <w:tc>
          <w:tcPr>
            <w:tcW w:w="875" w:type="dxa"/>
            <w:vMerge w:val="continue"/>
            <w:tcBorders>
              <w:top w:val="nil"/>
              <w:left w:val="single" w:color="auto" w:sz="8" w:space="0"/>
              <w:bottom w:val="single" w:color="000000" w:sz="8" w:space="0"/>
              <w:right w:val="single" w:color="auto" w:sz="8" w:space="0"/>
            </w:tcBorders>
            <w:vAlign w:val="center"/>
          </w:tcPr>
          <w:p>
            <w:pPr>
              <w:widowControl/>
              <w:rPr>
                <w:rFonts w:cs="Times New Roman"/>
                <w:sz w:val="21"/>
                <w:szCs w:val="21"/>
              </w:rPr>
            </w:pPr>
          </w:p>
        </w:tc>
        <w:tc>
          <w:tcPr>
            <w:tcW w:w="8505" w:type="dxa"/>
            <w:vMerge w:val="continue"/>
            <w:tcBorders>
              <w:top w:val="nil"/>
              <w:left w:val="nil"/>
              <w:bottom w:val="single" w:color="000000" w:sz="8" w:space="0"/>
              <w:right w:val="single" w:color="auto" w:sz="8" w:space="0"/>
            </w:tcBorders>
            <w:vAlign w:val="center"/>
          </w:tcPr>
          <w:p>
            <w:pPr>
              <w:widowControl/>
              <w:rPr>
                <w:rFonts w:cs="Times New Roman"/>
                <w:sz w:val="21"/>
                <w:szCs w:val="21"/>
              </w:rPr>
            </w:pPr>
          </w:p>
        </w:tc>
        <w:tc>
          <w:tcPr>
            <w:tcW w:w="5103" w:type="dxa"/>
            <w:tcBorders>
              <w:top w:val="nil"/>
              <w:left w:val="nil"/>
              <w:bottom w:val="nil"/>
              <w:right w:val="single" w:color="auto" w:sz="8" w:space="0"/>
            </w:tcBorders>
          </w:tcPr>
          <w:p>
            <w:pPr>
              <w:widowControl/>
              <w:rPr>
                <w:sz w:val="21"/>
                <w:szCs w:val="21"/>
              </w:rPr>
            </w:pPr>
            <w:r>
              <w:rPr>
                <w:rFonts w:hint="eastAsia"/>
                <w:sz w:val="21"/>
                <w:szCs w:val="21"/>
              </w:rPr>
              <w:t>BHP1000冗余热备份电源:</w:t>
            </w:r>
          </w:p>
        </w:tc>
        <w:tc>
          <w:tcPr>
            <w:tcW w:w="1134" w:type="dxa"/>
            <w:vMerge w:val="restart"/>
            <w:tcBorders>
              <w:top w:val="nil"/>
              <w:left w:val="nil"/>
              <w:bottom w:val="single" w:color="auto" w:sz="8" w:space="0"/>
              <w:right w:val="single" w:color="auto" w:sz="8" w:space="0"/>
            </w:tcBorders>
            <w:vAlign w:val="center"/>
          </w:tcPr>
          <w:p>
            <w:pPr>
              <w:widowControl/>
              <w:jc w:val="center"/>
              <w:rPr>
                <w:sz w:val="21"/>
                <w:szCs w:val="21"/>
              </w:rPr>
            </w:pPr>
            <w:r>
              <w:rPr>
                <w:rFonts w:hint="eastAsia"/>
                <w:sz w:val="21"/>
                <w:szCs w:val="21"/>
              </w:rPr>
              <w:t>北京博汇</w:t>
            </w:r>
          </w:p>
        </w:tc>
        <w:tc>
          <w:tcPr>
            <w:tcW w:w="708" w:type="dxa"/>
            <w:vMerge w:val="restart"/>
            <w:tcBorders>
              <w:top w:val="nil"/>
              <w:left w:val="nil"/>
              <w:bottom w:val="single" w:color="auto" w:sz="8" w:space="0"/>
              <w:right w:val="single" w:color="auto" w:sz="8" w:space="0"/>
            </w:tcBorders>
            <w:vAlign w:val="center"/>
          </w:tcPr>
          <w:p>
            <w:pPr>
              <w:widowControl/>
              <w:jc w:val="center"/>
              <w:rPr>
                <w:sz w:val="21"/>
                <w:szCs w:val="21"/>
              </w:rPr>
            </w:pPr>
            <w:r>
              <w:rPr>
                <w:rFonts w:hint="eastAsia"/>
                <w:sz w:val="21"/>
                <w:szCs w:val="21"/>
              </w:rPr>
              <w:t>1台</w:t>
            </w:r>
          </w:p>
        </w:tc>
      </w:tr>
      <w:tr>
        <w:trPr>
          <w:trHeight w:val="1200" w:hRule="atLeast"/>
        </w:trPr>
        <w:tc>
          <w:tcPr>
            <w:tcW w:w="875" w:type="dxa"/>
            <w:vMerge w:val="continue"/>
            <w:tcBorders>
              <w:top w:val="nil"/>
              <w:left w:val="single" w:color="auto" w:sz="8" w:space="0"/>
              <w:bottom w:val="single" w:color="000000" w:sz="8" w:space="0"/>
              <w:right w:val="single" w:color="auto" w:sz="8" w:space="0"/>
            </w:tcBorders>
            <w:vAlign w:val="center"/>
          </w:tcPr>
          <w:p>
            <w:pPr>
              <w:widowControl/>
              <w:rPr>
                <w:rFonts w:cs="Times New Roman"/>
                <w:sz w:val="21"/>
                <w:szCs w:val="21"/>
              </w:rPr>
            </w:pPr>
          </w:p>
        </w:tc>
        <w:tc>
          <w:tcPr>
            <w:tcW w:w="8505" w:type="dxa"/>
            <w:vMerge w:val="continue"/>
            <w:tcBorders>
              <w:top w:val="nil"/>
              <w:left w:val="nil"/>
              <w:bottom w:val="single" w:color="000000" w:sz="8" w:space="0"/>
              <w:right w:val="single" w:color="auto" w:sz="8" w:space="0"/>
            </w:tcBorders>
            <w:vAlign w:val="center"/>
          </w:tcPr>
          <w:p>
            <w:pPr>
              <w:widowControl/>
              <w:rPr>
                <w:rFonts w:cs="Times New Roman"/>
                <w:sz w:val="21"/>
                <w:szCs w:val="21"/>
              </w:rPr>
            </w:pPr>
          </w:p>
        </w:tc>
        <w:tc>
          <w:tcPr>
            <w:tcW w:w="5103" w:type="dxa"/>
            <w:tcBorders>
              <w:top w:val="nil"/>
              <w:left w:val="nil"/>
              <w:bottom w:val="single" w:color="auto" w:sz="8" w:space="0"/>
              <w:right w:val="single" w:color="auto" w:sz="8" w:space="0"/>
            </w:tcBorders>
          </w:tcPr>
          <w:p>
            <w:pPr>
              <w:widowControl/>
              <w:rPr>
                <w:sz w:val="21"/>
                <w:szCs w:val="21"/>
              </w:rPr>
            </w:pPr>
            <w:r>
              <w:rPr>
                <w:rFonts w:hint="eastAsia"/>
                <w:sz w:val="21"/>
                <w:szCs w:val="21"/>
              </w:rPr>
              <w:t>支持多至3路交流输入，支持多路电源模块均衡负载，1+1或2+1冗余热备份，提供3路完全并联的12V直流输出，与采用直流电源输入接口的BHC2000工业机箱配合使用，提供高可靠性的电源</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8"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trHeight w:val="1440" w:hRule="atLeast"/>
        </w:trPr>
        <w:tc>
          <w:tcPr>
            <w:tcW w:w="875" w:type="dxa"/>
            <w:vMerge w:val="continue"/>
            <w:tcBorders>
              <w:top w:val="nil"/>
              <w:left w:val="single" w:color="auto" w:sz="8" w:space="0"/>
              <w:bottom w:val="single" w:color="000000" w:sz="8" w:space="0"/>
              <w:right w:val="single" w:color="auto" w:sz="8" w:space="0"/>
            </w:tcBorders>
            <w:vAlign w:val="center"/>
          </w:tcPr>
          <w:p>
            <w:pPr>
              <w:widowControl/>
              <w:rPr>
                <w:rFonts w:cs="Times New Roman"/>
                <w:sz w:val="21"/>
                <w:szCs w:val="21"/>
              </w:rPr>
            </w:pPr>
          </w:p>
        </w:tc>
        <w:tc>
          <w:tcPr>
            <w:tcW w:w="8505" w:type="dxa"/>
            <w:vMerge w:val="continue"/>
            <w:tcBorders>
              <w:top w:val="nil"/>
              <w:left w:val="nil"/>
              <w:bottom w:val="single" w:color="000000" w:sz="8" w:space="0"/>
              <w:right w:val="single" w:color="auto" w:sz="8" w:space="0"/>
            </w:tcBorders>
            <w:vAlign w:val="center"/>
          </w:tcPr>
          <w:p>
            <w:pPr>
              <w:widowControl/>
              <w:rPr>
                <w:rFonts w:cs="Times New Roman"/>
                <w:sz w:val="21"/>
                <w:szCs w:val="21"/>
              </w:rPr>
            </w:pPr>
          </w:p>
        </w:tc>
        <w:tc>
          <w:tcPr>
            <w:tcW w:w="5103" w:type="dxa"/>
            <w:tcBorders>
              <w:top w:val="nil"/>
              <w:left w:val="nil"/>
              <w:bottom w:val="nil"/>
              <w:right w:val="single" w:color="auto" w:sz="8" w:space="0"/>
            </w:tcBorders>
          </w:tcPr>
          <w:p>
            <w:pPr>
              <w:widowControl/>
              <w:ind w:firstLine="420" w:firstLineChars="200"/>
              <w:rPr>
                <w:sz w:val="21"/>
                <w:szCs w:val="21"/>
              </w:rPr>
            </w:pPr>
            <w:r>
              <w:rPr>
                <w:rFonts w:hint="eastAsia"/>
                <w:sz w:val="21"/>
                <w:szCs w:val="21"/>
              </w:rPr>
              <w:t>BHQP41用于卫星数字电视信号监测。每块板卡可完成1~8路卫星数字电视信号接收、信道参数监测、码流分析、码流TS over IP输出功能，并增加了对DVB-S2信号接收及盲扫功能的支持。</w:t>
            </w:r>
          </w:p>
        </w:tc>
        <w:tc>
          <w:tcPr>
            <w:tcW w:w="1134" w:type="dxa"/>
            <w:vMerge w:val="restart"/>
            <w:tcBorders>
              <w:top w:val="nil"/>
              <w:left w:val="nil"/>
              <w:bottom w:val="single" w:color="auto" w:sz="8" w:space="0"/>
              <w:right w:val="single" w:color="auto" w:sz="8" w:space="0"/>
            </w:tcBorders>
            <w:vAlign w:val="center"/>
          </w:tcPr>
          <w:p>
            <w:pPr>
              <w:widowControl/>
              <w:jc w:val="center"/>
              <w:rPr>
                <w:sz w:val="21"/>
                <w:szCs w:val="21"/>
              </w:rPr>
            </w:pPr>
            <w:r>
              <w:rPr>
                <w:rFonts w:hint="eastAsia"/>
                <w:sz w:val="21"/>
                <w:szCs w:val="21"/>
              </w:rPr>
              <w:t>北京博汇</w:t>
            </w:r>
          </w:p>
        </w:tc>
        <w:tc>
          <w:tcPr>
            <w:tcW w:w="708" w:type="dxa"/>
            <w:vMerge w:val="restart"/>
            <w:tcBorders>
              <w:top w:val="nil"/>
              <w:left w:val="nil"/>
              <w:bottom w:val="single" w:color="auto" w:sz="8" w:space="0"/>
              <w:right w:val="single" w:color="auto" w:sz="8" w:space="0"/>
            </w:tcBorders>
            <w:vAlign w:val="center"/>
          </w:tcPr>
          <w:p>
            <w:pPr>
              <w:widowControl/>
              <w:jc w:val="center"/>
              <w:rPr>
                <w:sz w:val="21"/>
                <w:szCs w:val="21"/>
              </w:rPr>
            </w:pPr>
            <w:r>
              <w:rPr>
                <w:rFonts w:hint="eastAsia"/>
                <w:sz w:val="21"/>
                <w:szCs w:val="21"/>
              </w:rPr>
              <w:t>1块</w:t>
            </w:r>
          </w:p>
        </w:tc>
      </w:tr>
      <w:tr>
        <w:trPr>
          <w:trHeight w:val="1540" w:hRule="atLeast"/>
        </w:trPr>
        <w:tc>
          <w:tcPr>
            <w:tcW w:w="875" w:type="dxa"/>
            <w:vMerge w:val="continue"/>
            <w:tcBorders>
              <w:top w:val="nil"/>
              <w:left w:val="single" w:color="auto" w:sz="8" w:space="0"/>
              <w:bottom w:val="single" w:color="000000" w:sz="8" w:space="0"/>
              <w:right w:val="single" w:color="auto" w:sz="8" w:space="0"/>
            </w:tcBorders>
            <w:vAlign w:val="center"/>
          </w:tcPr>
          <w:p>
            <w:pPr>
              <w:widowControl/>
              <w:rPr>
                <w:rFonts w:cs="Times New Roman"/>
                <w:sz w:val="21"/>
                <w:szCs w:val="21"/>
              </w:rPr>
            </w:pPr>
          </w:p>
        </w:tc>
        <w:tc>
          <w:tcPr>
            <w:tcW w:w="8505" w:type="dxa"/>
            <w:vMerge w:val="continue"/>
            <w:tcBorders>
              <w:top w:val="nil"/>
              <w:left w:val="nil"/>
              <w:bottom w:val="single" w:color="000000" w:sz="8" w:space="0"/>
              <w:right w:val="single" w:color="auto" w:sz="8" w:space="0"/>
            </w:tcBorders>
            <w:vAlign w:val="center"/>
          </w:tcPr>
          <w:p>
            <w:pPr>
              <w:widowControl/>
              <w:rPr>
                <w:rFonts w:cs="Times New Roman"/>
                <w:sz w:val="21"/>
                <w:szCs w:val="21"/>
              </w:rPr>
            </w:pPr>
          </w:p>
        </w:tc>
        <w:tc>
          <w:tcPr>
            <w:tcW w:w="5103" w:type="dxa"/>
            <w:tcBorders>
              <w:top w:val="nil"/>
              <w:left w:val="nil"/>
              <w:bottom w:val="nil"/>
              <w:right w:val="single" w:color="auto" w:sz="8" w:space="0"/>
            </w:tcBorders>
          </w:tcPr>
          <w:p>
            <w:pPr>
              <w:widowControl/>
              <w:ind w:firstLine="420" w:firstLineChars="200"/>
              <w:rPr>
                <w:sz w:val="21"/>
                <w:szCs w:val="21"/>
              </w:rPr>
            </w:pPr>
            <w:r>
              <w:rPr>
                <w:rFonts w:hint="eastAsia"/>
                <w:sz w:val="21"/>
                <w:szCs w:val="21"/>
              </w:rPr>
              <w:t>板卡可监测的信道指标有：射频信号的锁定状态、载波电平、载噪比（C/N）、Eb/N0、BER（维特比纠错前）、符码率偏移、频点偏移；同时对解调输出的TS流进行TR101 290三级码流错误监测及告警；并将TS流打包成IP流输出。</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8"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trHeight w:val="824" w:hRule="atLeast"/>
        </w:trPr>
        <w:tc>
          <w:tcPr>
            <w:tcW w:w="875" w:type="dxa"/>
            <w:vMerge w:val="continue"/>
            <w:tcBorders>
              <w:top w:val="nil"/>
              <w:left w:val="single" w:color="auto" w:sz="8" w:space="0"/>
              <w:bottom w:val="single" w:color="000000" w:sz="8" w:space="0"/>
              <w:right w:val="single" w:color="auto" w:sz="8" w:space="0"/>
            </w:tcBorders>
            <w:vAlign w:val="center"/>
          </w:tcPr>
          <w:p>
            <w:pPr>
              <w:widowControl/>
              <w:rPr>
                <w:rFonts w:cs="Times New Roman"/>
                <w:sz w:val="21"/>
                <w:szCs w:val="21"/>
              </w:rPr>
            </w:pPr>
          </w:p>
        </w:tc>
        <w:tc>
          <w:tcPr>
            <w:tcW w:w="8505" w:type="dxa"/>
            <w:vMerge w:val="continue"/>
            <w:tcBorders>
              <w:top w:val="nil"/>
              <w:left w:val="nil"/>
              <w:bottom w:val="single" w:color="000000" w:sz="8" w:space="0"/>
              <w:right w:val="single" w:color="auto" w:sz="8" w:space="0"/>
            </w:tcBorders>
            <w:vAlign w:val="center"/>
          </w:tcPr>
          <w:p>
            <w:pPr>
              <w:widowControl/>
              <w:rPr>
                <w:rFonts w:cs="Times New Roman"/>
                <w:sz w:val="21"/>
                <w:szCs w:val="21"/>
              </w:rPr>
            </w:pPr>
          </w:p>
        </w:tc>
        <w:tc>
          <w:tcPr>
            <w:tcW w:w="5103" w:type="dxa"/>
            <w:tcBorders>
              <w:top w:val="nil"/>
              <w:left w:val="nil"/>
              <w:bottom w:val="nil"/>
              <w:right w:val="single" w:color="auto" w:sz="8" w:space="0"/>
            </w:tcBorders>
          </w:tcPr>
          <w:p>
            <w:pPr>
              <w:widowControl/>
              <w:ind w:firstLine="420" w:firstLineChars="200"/>
              <w:rPr>
                <w:sz w:val="21"/>
                <w:szCs w:val="21"/>
              </w:rPr>
            </w:pPr>
            <w:r>
              <w:rPr>
                <w:rFonts w:hint="eastAsia"/>
                <w:sz w:val="21"/>
                <w:szCs w:val="21"/>
              </w:rPr>
              <w:t>BHQP41同时集成了成熟的防范非法攻击功能，可完成准确的非法攻击及雨雪衰降判断，并同时完成备用信号切换、及手动恢复控制。</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8"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trHeight w:val="960" w:hRule="atLeast"/>
        </w:trPr>
        <w:tc>
          <w:tcPr>
            <w:tcW w:w="875" w:type="dxa"/>
            <w:vMerge w:val="continue"/>
            <w:tcBorders>
              <w:top w:val="nil"/>
              <w:left w:val="single" w:color="auto" w:sz="8" w:space="0"/>
              <w:bottom w:val="single" w:color="000000" w:sz="8" w:space="0"/>
              <w:right w:val="single" w:color="auto" w:sz="8" w:space="0"/>
            </w:tcBorders>
            <w:vAlign w:val="center"/>
          </w:tcPr>
          <w:p>
            <w:pPr>
              <w:widowControl/>
              <w:rPr>
                <w:rFonts w:cs="Times New Roman"/>
                <w:sz w:val="21"/>
                <w:szCs w:val="21"/>
              </w:rPr>
            </w:pPr>
          </w:p>
        </w:tc>
        <w:tc>
          <w:tcPr>
            <w:tcW w:w="8505" w:type="dxa"/>
            <w:vMerge w:val="continue"/>
            <w:tcBorders>
              <w:top w:val="nil"/>
              <w:left w:val="nil"/>
              <w:bottom w:val="single" w:color="000000" w:sz="8" w:space="0"/>
              <w:right w:val="single" w:color="auto" w:sz="8" w:space="0"/>
            </w:tcBorders>
            <w:vAlign w:val="center"/>
          </w:tcPr>
          <w:p>
            <w:pPr>
              <w:widowControl/>
              <w:rPr>
                <w:rFonts w:cs="Times New Roman"/>
                <w:sz w:val="21"/>
                <w:szCs w:val="21"/>
              </w:rPr>
            </w:pPr>
          </w:p>
        </w:tc>
        <w:tc>
          <w:tcPr>
            <w:tcW w:w="5103" w:type="dxa"/>
            <w:tcBorders>
              <w:top w:val="nil"/>
              <w:left w:val="nil"/>
              <w:bottom w:val="single" w:color="auto" w:sz="8" w:space="0"/>
              <w:right w:val="single" w:color="auto" w:sz="8" w:space="0"/>
            </w:tcBorders>
          </w:tcPr>
          <w:p>
            <w:pPr>
              <w:widowControl/>
              <w:rPr>
                <w:sz w:val="21"/>
                <w:szCs w:val="21"/>
              </w:rPr>
            </w:pPr>
            <w:r>
              <w:rPr>
                <w:rFonts w:hint="eastAsia"/>
                <w:sz w:val="21"/>
                <w:szCs w:val="21"/>
              </w:rPr>
              <w:t>BHQP41多通道DVB-S/S2卫星数字电视监测卡具有先进的卫星信号防非监测功能，而且博汇卫星安全监控是广电总局85号文件推荐产品即广局技字［2005］85号。</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8"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trHeight w:val="2226" w:hRule="atLeast"/>
        </w:trPr>
        <w:tc>
          <w:tcPr>
            <w:tcW w:w="875" w:type="dxa"/>
            <w:vMerge w:val="continue"/>
            <w:tcBorders>
              <w:top w:val="nil"/>
              <w:left w:val="single" w:color="auto" w:sz="8" w:space="0"/>
              <w:bottom w:val="single" w:color="000000" w:sz="8" w:space="0"/>
              <w:right w:val="single" w:color="auto" w:sz="8" w:space="0"/>
            </w:tcBorders>
            <w:vAlign w:val="center"/>
          </w:tcPr>
          <w:p>
            <w:pPr>
              <w:widowControl/>
              <w:rPr>
                <w:rFonts w:cs="Times New Roman"/>
                <w:sz w:val="21"/>
                <w:szCs w:val="21"/>
              </w:rPr>
            </w:pPr>
          </w:p>
        </w:tc>
        <w:tc>
          <w:tcPr>
            <w:tcW w:w="8505" w:type="dxa"/>
            <w:vMerge w:val="continue"/>
            <w:tcBorders>
              <w:top w:val="nil"/>
              <w:left w:val="nil"/>
              <w:bottom w:val="single" w:color="000000" w:sz="8" w:space="0"/>
              <w:right w:val="single" w:color="auto" w:sz="8" w:space="0"/>
            </w:tcBorders>
            <w:vAlign w:val="center"/>
          </w:tcPr>
          <w:p>
            <w:pPr>
              <w:widowControl/>
              <w:rPr>
                <w:rFonts w:cs="Times New Roman"/>
                <w:sz w:val="21"/>
                <w:szCs w:val="21"/>
              </w:rPr>
            </w:pPr>
          </w:p>
        </w:tc>
        <w:tc>
          <w:tcPr>
            <w:tcW w:w="5103" w:type="dxa"/>
            <w:tcBorders>
              <w:top w:val="nil"/>
              <w:left w:val="nil"/>
              <w:bottom w:val="single" w:color="auto" w:sz="8" w:space="0"/>
              <w:right w:val="single" w:color="auto" w:sz="8" w:space="0"/>
            </w:tcBorders>
          </w:tcPr>
          <w:p>
            <w:pPr>
              <w:widowControl/>
              <w:ind w:firstLine="420" w:firstLineChars="200"/>
              <w:rPr>
                <w:sz w:val="21"/>
                <w:szCs w:val="21"/>
              </w:rPr>
            </w:pPr>
            <w:r>
              <w:rPr>
                <w:rFonts w:hint="eastAsia"/>
                <w:sz w:val="21"/>
                <w:szCs w:val="21"/>
              </w:rPr>
              <w:t>BHIP47多通道IP码流主备切换卡，是针对IP传输码流进行故障切换的解决方案。每块板卡由两个独立处理模块组成，每个处理模块带有4个千兆码流网口和1个百兆控制网口；每模块支持1~8路主备IP码流的输入、1~8路IP码流输出；支持断电直通。板卡通过监测码流中断故障，自动完成主备路切换，同时配合TS301-Switch软件，可以完成手动切换。</w:t>
            </w:r>
          </w:p>
        </w:tc>
        <w:tc>
          <w:tcPr>
            <w:tcW w:w="1134" w:type="dxa"/>
            <w:tcBorders>
              <w:top w:val="nil"/>
              <w:left w:val="nil"/>
              <w:bottom w:val="single" w:color="auto" w:sz="8" w:space="0"/>
              <w:right w:val="single" w:color="auto" w:sz="8" w:space="0"/>
            </w:tcBorders>
            <w:vAlign w:val="center"/>
          </w:tcPr>
          <w:p>
            <w:pPr>
              <w:widowControl/>
              <w:jc w:val="center"/>
              <w:rPr>
                <w:sz w:val="21"/>
                <w:szCs w:val="21"/>
              </w:rPr>
            </w:pPr>
            <w:r>
              <w:rPr>
                <w:rFonts w:hint="eastAsia"/>
                <w:sz w:val="21"/>
                <w:szCs w:val="21"/>
              </w:rPr>
              <w:t>北京博汇</w:t>
            </w:r>
          </w:p>
        </w:tc>
        <w:tc>
          <w:tcPr>
            <w:tcW w:w="708" w:type="dxa"/>
            <w:tcBorders>
              <w:top w:val="nil"/>
              <w:left w:val="nil"/>
              <w:bottom w:val="single" w:color="auto" w:sz="8" w:space="0"/>
              <w:right w:val="single" w:color="auto" w:sz="8" w:space="0"/>
            </w:tcBorders>
            <w:vAlign w:val="center"/>
          </w:tcPr>
          <w:p>
            <w:pPr>
              <w:widowControl/>
              <w:jc w:val="center"/>
              <w:rPr>
                <w:sz w:val="21"/>
                <w:szCs w:val="21"/>
              </w:rPr>
            </w:pPr>
            <w:r>
              <w:rPr>
                <w:rFonts w:hint="eastAsia"/>
                <w:sz w:val="21"/>
                <w:szCs w:val="21"/>
              </w:rPr>
              <w:t>1块</w:t>
            </w:r>
          </w:p>
        </w:tc>
      </w:tr>
      <w:tr>
        <w:trPr>
          <w:trHeight w:val="280" w:hRule="atLeast"/>
        </w:trPr>
        <w:tc>
          <w:tcPr>
            <w:tcW w:w="875" w:type="dxa"/>
            <w:vMerge w:val="restart"/>
            <w:tcBorders>
              <w:top w:val="nil"/>
              <w:left w:val="single" w:color="auto" w:sz="8" w:space="0"/>
              <w:bottom w:val="single" w:color="auto" w:sz="8" w:space="0"/>
              <w:right w:val="single" w:color="auto" w:sz="8" w:space="0"/>
            </w:tcBorders>
            <w:vAlign w:val="center"/>
          </w:tcPr>
          <w:p>
            <w:pPr>
              <w:widowControl/>
              <w:rPr>
                <w:sz w:val="21"/>
                <w:szCs w:val="21"/>
              </w:rPr>
            </w:pPr>
            <w:r>
              <w:rPr>
                <w:rFonts w:hint="eastAsia"/>
                <w:sz w:val="21"/>
                <w:szCs w:val="21"/>
              </w:rPr>
              <w:t>　4</w:t>
            </w:r>
          </w:p>
        </w:tc>
        <w:tc>
          <w:tcPr>
            <w:tcW w:w="1560" w:type="dxa"/>
            <w:vMerge w:val="restart"/>
            <w:tcBorders>
              <w:top w:val="nil"/>
              <w:left w:val="nil"/>
              <w:bottom w:val="single" w:color="auto" w:sz="8" w:space="0"/>
              <w:right w:val="single" w:color="auto" w:sz="8" w:space="0"/>
            </w:tcBorders>
            <w:vAlign w:val="center"/>
          </w:tcPr>
          <w:p>
            <w:pPr>
              <w:widowControl/>
              <w:rPr>
                <w:sz w:val="21"/>
                <w:szCs w:val="21"/>
              </w:rPr>
            </w:pPr>
            <w:r>
              <w:rPr>
                <w:rFonts w:hint="eastAsia"/>
                <w:sz w:val="21"/>
                <w:szCs w:val="21"/>
              </w:rPr>
              <w:t>　</w:t>
            </w:r>
          </w:p>
        </w:tc>
        <w:tc>
          <w:tcPr>
            <w:tcW w:w="5103" w:type="dxa"/>
            <w:tcBorders>
              <w:top w:val="nil"/>
              <w:left w:val="nil"/>
              <w:bottom w:val="nil"/>
              <w:right w:val="single" w:color="auto" w:sz="8" w:space="0"/>
            </w:tcBorders>
            <w:vAlign w:val="center"/>
          </w:tcPr>
          <w:p>
            <w:pPr>
              <w:widowControl/>
              <w:rPr>
                <w:sz w:val="21"/>
                <w:szCs w:val="21"/>
              </w:rPr>
            </w:pPr>
            <w:r>
              <w:rPr>
                <w:rFonts w:hint="eastAsia"/>
                <w:sz w:val="21"/>
                <w:szCs w:val="21"/>
              </w:rPr>
              <w:t>TrinityAres-Display多画面显示监测报警系统</w:t>
            </w:r>
          </w:p>
        </w:tc>
        <w:tc>
          <w:tcPr>
            <w:tcW w:w="1134" w:type="dxa"/>
            <w:vMerge w:val="restart"/>
            <w:tcBorders>
              <w:top w:val="nil"/>
              <w:left w:val="nil"/>
              <w:bottom w:val="single" w:color="auto" w:sz="8" w:space="0"/>
              <w:right w:val="single" w:color="auto" w:sz="8" w:space="0"/>
            </w:tcBorders>
            <w:vAlign w:val="center"/>
          </w:tcPr>
          <w:p>
            <w:pPr>
              <w:widowControl/>
              <w:jc w:val="center"/>
              <w:rPr>
                <w:sz w:val="21"/>
                <w:szCs w:val="21"/>
              </w:rPr>
            </w:pPr>
            <w:r>
              <w:rPr>
                <w:rFonts w:hint="eastAsia"/>
                <w:sz w:val="21"/>
                <w:szCs w:val="21"/>
              </w:rPr>
              <w:t>北京博汇</w:t>
            </w:r>
          </w:p>
        </w:tc>
        <w:tc>
          <w:tcPr>
            <w:tcW w:w="708" w:type="dxa"/>
            <w:vMerge w:val="restart"/>
            <w:tcBorders>
              <w:top w:val="nil"/>
              <w:left w:val="nil"/>
              <w:bottom w:val="single" w:color="auto" w:sz="8" w:space="0"/>
              <w:right w:val="single" w:color="auto" w:sz="8" w:space="0"/>
            </w:tcBorders>
            <w:vAlign w:val="center"/>
          </w:tcPr>
          <w:p>
            <w:pPr>
              <w:widowControl/>
              <w:jc w:val="center"/>
              <w:rPr>
                <w:sz w:val="21"/>
                <w:szCs w:val="21"/>
              </w:rPr>
            </w:pPr>
            <w:r>
              <w:rPr>
                <w:rFonts w:hint="eastAsia"/>
                <w:sz w:val="21"/>
                <w:szCs w:val="21"/>
              </w:rPr>
              <w:t>1台</w:t>
            </w:r>
          </w:p>
        </w:tc>
      </w:tr>
      <w:tr>
        <w:trPr>
          <w:trHeight w:val="480" w:hRule="atLeast"/>
        </w:trPr>
        <w:tc>
          <w:tcPr>
            <w:tcW w:w="875" w:type="dxa"/>
            <w:vMerge w:val="continue"/>
            <w:tcBorders>
              <w:top w:val="nil"/>
              <w:left w:val="single" w:color="auto" w:sz="8" w:space="0"/>
              <w:bottom w:val="single" w:color="auto" w:sz="8" w:space="0"/>
              <w:right w:val="single" w:color="auto" w:sz="8" w:space="0"/>
            </w:tcBorders>
            <w:vAlign w:val="center"/>
          </w:tcPr>
          <w:p>
            <w:pPr>
              <w:widowControl/>
              <w:rPr>
                <w:rFonts w:cs="Times New Roman"/>
                <w:sz w:val="21"/>
                <w:szCs w:val="21"/>
              </w:rPr>
            </w:pPr>
          </w:p>
        </w:tc>
        <w:tc>
          <w:tcPr>
            <w:tcW w:w="8505"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5103" w:type="dxa"/>
            <w:tcBorders>
              <w:top w:val="nil"/>
              <w:left w:val="nil"/>
              <w:bottom w:val="nil"/>
              <w:right w:val="single" w:color="auto" w:sz="8" w:space="0"/>
            </w:tcBorders>
            <w:vAlign w:val="center"/>
          </w:tcPr>
          <w:p>
            <w:pPr>
              <w:widowControl/>
              <w:rPr>
                <w:sz w:val="21"/>
                <w:szCs w:val="21"/>
              </w:rPr>
            </w:pPr>
            <w:r>
              <w:rPr>
                <w:rFonts w:hint="eastAsia"/>
                <w:sz w:val="21"/>
                <w:szCs w:val="21"/>
              </w:rPr>
              <w:t>多画面监测报警专用主机：I7 2600处理器/4G内存/2TB高速企业专用数据硬盘</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8"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trHeight w:val="480" w:hRule="atLeast"/>
        </w:trPr>
        <w:tc>
          <w:tcPr>
            <w:tcW w:w="875" w:type="dxa"/>
            <w:vMerge w:val="continue"/>
            <w:tcBorders>
              <w:top w:val="nil"/>
              <w:left w:val="single" w:color="auto" w:sz="8" w:space="0"/>
              <w:bottom w:val="single" w:color="auto" w:sz="8" w:space="0"/>
              <w:right w:val="single" w:color="auto" w:sz="8" w:space="0"/>
            </w:tcBorders>
            <w:vAlign w:val="center"/>
          </w:tcPr>
          <w:p>
            <w:pPr>
              <w:widowControl/>
              <w:rPr>
                <w:rFonts w:cs="Times New Roman"/>
                <w:sz w:val="21"/>
                <w:szCs w:val="21"/>
              </w:rPr>
            </w:pPr>
          </w:p>
        </w:tc>
        <w:tc>
          <w:tcPr>
            <w:tcW w:w="8505"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5103" w:type="dxa"/>
            <w:tcBorders>
              <w:top w:val="nil"/>
              <w:left w:val="nil"/>
              <w:bottom w:val="nil"/>
              <w:right w:val="single" w:color="auto" w:sz="8" w:space="0"/>
            </w:tcBorders>
            <w:vAlign w:val="center"/>
          </w:tcPr>
          <w:p>
            <w:pPr>
              <w:widowControl/>
              <w:rPr>
                <w:sz w:val="21"/>
                <w:szCs w:val="21"/>
              </w:rPr>
            </w:pPr>
            <w:r>
              <w:rPr>
                <w:rFonts w:hint="eastAsia"/>
                <w:sz w:val="21"/>
                <w:szCs w:val="21"/>
              </w:rPr>
              <w:t>Ø TrinityAres-Display数字电视多画面显示监测报警软件</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8"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trHeight w:val="720" w:hRule="atLeast"/>
        </w:trPr>
        <w:tc>
          <w:tcPr>
            <w:tcW w:w="875" w:type="dxa"/>
            <w:vMerge w:val="continue"/>
            <w:tcBorders>
              <w:top w:val="nil"/>
              <w:left w:val="single" w:color="auto" w:sz="8" w:space="0"/>
              <w:bottom w:val="single" w:color="auto" w:sz="8" w:space="0"/>
              <w:right w:val="single" w:color="auto" w:sz="8" w:space="0"/>
            </w:tcBorders>
            <w:vAlign w:val="center"/>
          </w:tcPr>
          <w:p>
            <w:pPr>
              <w:widowControl/>
              <w:rPr>
                <w:rFonts w:cs="Times New Roman"/>
                <w:sz w:val="21"/>
                <w:szCs w:val="21"/>
              </w:rPr>
            </w:pPr>
          </w:p>
        </w:tc>
        <w:tc>
          <w:tcPr>
            <w:tcW w:w="8505"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5103" w:type="dxa"/>
            <w:tcBorders>
              <w:top w:val="nil"/>
              <w:left w:val="nil"/>
              <w:bottom w:val="nil"/>
              <w:right w:val="single" w:color="auto" w:sz="8" w:space="0"/>
            </w:tcBorders>
            <w:vAlign w:val="center"/>
          </w:tcPr>
          <w:p>
            <w:pPr>
              <w:widowControl/>
              <w:rPr>
                <w:sz w:val="21"/>
                <w:szCs w:val="21"/>
              </w:rPr>
            </w:pPr>
            <w:r>
              <w:rPr>
                <w:rFonts w:hint="eastAsia"/>
                <w:sz w:val="21"/>
                <w:szCs w:val="21"/>
              </w:rPr>
              <w:t>Ø 接收网络组播的码流，实时解码卫星接收机后输出的数字电视节目视音频，进行实时监测和多画面组合显示</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8"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trHeight w:val="960" w:hRule="atLeast"/>
        </w:trPr>
        <w:tc>
          <w:tcPr>
            <w:tcW w:w="875" w:type="dxa"/>
            <w:vMerge w:val="continue"/>
            <w:tcBorders>
              <w:top w:val="nil"/>
              <w:left w:val="single" w:color="auto" w:sz="8" w:space="0"/>
              <w:bottom w:val="single" w:color="auto" w:sz="8" w:space="0"/>
              <w:right w:val="single" w:color="auto" w:sz="8" w:space="0"/>
            </w:tcBorders>
            <w:vAlign w:val="center"/>
          </w:tcPr>
          <w:p>
            <w:pPr>
              <w:widowControl/>
              <w:rPr>
                <w:rFonts w:cs="Times New Roman"/>
                <w:sz w:val="21"/>
                <w:szCs w:val="21"/>
              </w:rPr>
            </w:pPr>
          </w:p>
        </w:tc>
        <w:tc>
          <w:tcPr>
            <w:tcW w:w="8505"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5103" w:type="dxa"/>
            <w:tcBorders>
              <w:top w:val="nil"/>
              <w:left w:val="nil"/>
              <w:bottom w:val="single" w:color="auto" w:sz="8" w:space="0"/>
              <w:right w:val="single" w:color="auto" w:sz="8" w:space="0"/>
            </w:tcBorders>
            <w:vAlign w:val="center"/>
          </w:tcPr>
          <w:p>
            <w:pPr>
              <w:widowControl/>
              <w:rPr>
                <w:sz w:val="21"/>
                <w:szCs w:val="21"/>
              </w:rPr>
            </w:pPr>
            <w:r>
              <w:rPr>
                <w:rFonts w:hint="eastAsia"/>
                <w:sz w:val="21"/>
                <w:szCs w:val="21"/>
              </w:rPr>
              <w:t>Ø 完成码流解码视音频内容实时监测报警、多画面组合和码流监测信息显示、全程录像和故障触发录像等功能，每台2U主机支持多至40套标清电视节目或8套高清节目监测和显示</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8"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bl>
    <w:p>
      <w:pPr>
        <w:rPr>
          <w:rFonts w:cs="Times New Roman"/>
          <w:kern w:val="2"/>
          <w:sz w:val="21"/>
          <w:szCs w:val="21"/>
        </w:rPr>
      </w:pPr>
    </w:p>
    <w:p>
      <w:pPr>
        <w:pStyle w:val="42"/>
        <w:rPr>
          <w:rFonts w:ascii="宋体" w:hAnsi="宋体"/>
        </w:rPr>
      </w:pPr>
      <w:r>
        <w:rPr>
          <w:rFonts w:hint="eastAsia" w:ascii="宋体" w:hAnsi="宋体"/>
        </w:rPr>
        <w:t>【6】F201312081-广东IPTV卫星信号源接收转码与监测扩容采购项目合同</w:t>
      </w:r>
    </w:p>
    <w:p>
      <w:pPr>
        <w:pStyle w:val="42"/>
        <w:ind w:firstLine="420" w:firstLineChars="200"/>
        <w:rPr>
          <w:rFonts w:ascii="宋体" w:hAnsi="宋体"/>
        </w:rPr>
      </w:pPr>
      <w:r>
        <w:rPr>
          <w:rFonts w:hint="eastAsia" w:ascii="宋体" w:hAnsi="宋体"/>
        </w:rPr>
        <w:t>本合同标的的货物均在使用，其中1-4项在计划更替，因此本合同只针对5-6项拟计划续保至2025年12月31日。</w:t>
      </w:r>
    </w:p>
    <w:tbl>
      <w:tblPr>
        <w:tblStyle w:val="19"/>
        <w:tblW w:w="9360" w:type="dxa"/>
        <w:tblInd w:w="-318" w:type="dxa"/>
        <w:tblLayout w:type="fixed"/>
        <w:tblCellMar>
          <w:top w:w="0" w:type="dxa"/>
          <w:left w:w="108" w:type="dxa"/>
          <w:bottom w:w="0" w:type="dxa"/>
          <w:right w:w="108" w:type="dxa"/>
        </w:tblCellMar>
      </w:tblPr>
      <w:tblGrid>
        <w:gridCol w:w="853"/>
        <w:gridCol w:w="1559"/>
        <w:gridCol w:w="5105"/>
        <w:gridCol w:w="1134"/>
        <w:gridCol w:w="709"/>
      </w:tblGrid>
      <w:tr>
        <w:trPr>
          <w:cantSplit/>
          <w:trHeight w:val="521" w:hRule="atLeast"/>
          <w:tblHeader/>
        </w:trPr>
        <w:tc>
          <w:tcPr>
            <w:tcW w:w="85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序号</w:t>
            </w:r>
          </w:p>
        </w:tc>
        <w:tc>
          <w:tcPr>
            <w:tcW w:w="1559" w:type="dxa"/>
            <w:tcBorders>
              <w:top w:val="single" w:color="auto" w:sz="8" w:space="0"/>
              <w:left w:val="nil"/>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货物名称</w:t>
            </w:r>
          </w:p>
        </w:tc>
        <w:tc>
          <w:tcPr>
            <w:tcW w:w="5103" w:type="dxa"/>
            <w:tcBorders>
              <w:top w:val="single" w:color="auto" w:sz="8" w:space="0"/>
              <w:left w:val="nil"/>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品牌、规格型号、主要技术参数</w:t>
            </w:r>
          </w:p>
        </w:tc>
        <w:tc>
          <w:tcPr>
            <w:tcW w:w="1134" w:type="dxa"/>
            <w:tcBorders>
              <w:top w:val="single" w:color="auto" w:sz="8" w:space="0"/>
              <w:left w:val="nil"/>
              <w:bottom w:val="single" w:color="auto" w:sz="8" w:space="0"/>
              <w:right w:val="single" w:color="auto" w:sz="8" w:space="0"/>
            </w:tcBorders>
            <w:shd w:val="clear" w:color="auto" w:fill="FFFFFF"/>
            <w:vAlign w:val="center"/>
          </w:tcPr>
          <w:p>
            <w:pPr>
              <w:widowControl/>
              <w:jc w:val="center"/>
              <w:rPr>
                <w:b/>
                <w:bCs/>
                <w:sz w:val="21"/>
                <w:szCs w:val="21"/>
              </w:rPr>
            </w:pPr>
            <w:r>
              <w:rPr>
                <w:rFonts w:hint="eastAsia"/>
                <w:b/>
                <w:bCs/>
                <w:sz w:val="21"/>
                <w:szCs w:val="21"/>
              </w:rPr>
              <w:t>制造商</w:t>
            </w:r>
          </w:p>
        </w:tc>
        <w:tc>
          <w:tcPr>
            <w:tcW w:w="709" w:type="dxa"/>
            <w:tcBorders>
              <w:top w:val="single" w:color="auto" w:sz="8" w:space="0"/>
              <w:left w:val="nil"/>
              <w:bottom w:val="single" w:color="auto" w:sz="8" w:space="0"/>
              <w:right w:val="single" w:color="auto" w:sz="8" w:space="0"/>
            </w:tcBorders>
            <w:shd w:val="clear" w:color="auto" w:fill="FFFFFF"/>
            <w:vAlign w:val="center"/>
          </w:tcPr>
          <w:p>
            <w:pPr>
              <w:widowControl/>
              <w:jc w:val="center"/>
              <w:rPr>
                <w:b/>
                <w:bCs/>
                <w:sz w:val="21"/>
                <w:szCs w:val="21"/>
              </w:rPr>
            </w:pPr>
            <w:r>
              <w:rPr>
                <w:rFonts w:hint="eastAsia"/>
                <w:b/>
                <w:bCs/>
                <w:sz w:val="21"/>
                <w:szCs w:val="21"/>
              </w:rPr>
              <w:t>数量</w:t>
            </w:r>
          </w:p>
        </w:tc>
      </w:tr>
      <w:tr>
        <w:trPr>
          <w:cantSplit/>
          <w:trHeight w:val="295" w:hRule="atLeast"/>
        </w:trPr>
        <w:tc>
          <w:tcPr>
            <w:tcW w:w="852" w:type="dxa"/>
            <w:vMerge w:val="restart"/>
            <w:tcBorders>
              <w:top w:val="nil"/>
              <w:left w:val="single" w:color="auto" w:sz="8" w:space="0"/>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1</w:t>
            </w:r>
          </w:p>
        </w:tc>
        <w:tc>
          <w:tcPr>
            <w:tcW w:w="1559" w:type="dxa"/>
            <w:vMerge w:val="restart"/>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高标清数字卫星接收解码器</w:t>
            </w:r>
          </w:p>
        </w:tc>
        <w:tc>
          <w:tcPr>
            <w:tcW w:w="5103" w:type="dxa"/>
            <w:tcBorders>
              <w:top w:val="nil"/>
              <w:left w:val="nil"/>
              <w:bottom w:val="nil"/>
              <w:right w:val="single" w:color="auto" w:sz="8" w:space="0"/>
            </w:tcBorders>
            <w:shd w:val="clear" w:color="auto" w:fill="FFFFFF"/>
            <w:vAlign w:val="center"/>
          </w:tcPr>
          <w:p>
            <w:pPr>
              <w:widowControl/>
              <w:rPr>
                <w:sz w:val="21"/>
                <w:szCs w:val="21"/>
              </w:rPr>
            </w:pPr>
            <w:r>
              <w:rPr>
                <w:rFonts w:hint="eastAsia"/>
                <w:sz w:val="21"/>
                <w:szCs w:val="21"/>
              </w:rPr>
              <w:t>PVR7000</w:t>
            </w:r>
          </w:p>
        </w:tc>
        <w:tc>
          <w:tcPr>
            <w:tcW w:w="1134"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美国哈雷</w:t>
            </w:r>
          </w:p>
        </w:tc>
        <w:tc>
          <w:tcPr>
            <w:tcW w:w="709"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3台</w:t>
            </w:r>
          </w:p>
        </w:tc>
      </w:tr>
      <w:tr>
        <w:trPr>
          <w:cantSplit/>
          <w:trHeight w:val="720" w:hRule="atLeast"/>
        </w:trPr>
        <w:tc>
          <w:tcPr>
            <w:tcW w:w="852" w:type="dxa"/>
            <w:vMerge w:val="continue"/>
            <w:tcBorders>
              <w:top w:val="nil"/>
              <w:left w:val="single" w:color="auto" w:sz="8" w:space="0"/>
              <w:bottom w:val="single" w:color="auto" w:sz="8" w:space="0"/>
              <w:right w:val="single" w:color="auto" w:sz="8" w:space="0"/>
            </w:tcBorders>
            <w:vAlign w:val="center"/>
          </w:tcPr>
          <w:p>
            <w:pPr>
              <w:widowControl/>
              <w:rPr>
                <w:rFonts w:cs="Times New Roman"/>
                <w:b/>
                <w:bCs/>
                <w:sz w:val="21"/>
                <w:szCs w:val="21"/>
              </w:rPr>
            </w:pPr>
          </w:p>
        </w:tc>
        <w:tc>
          <w:tcPr>
            <w:tcW w:w="1559"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5103" w:type="dxa"/>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1RU机箱，支持四路DVB-S QPSK输入，同时支持四路卫星信号解调。配有两个CAM插槽。两路ASI和IP双输出</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9"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cantSplit/>
          <w:trHeight w:val="295" w:hRule="atLeast"/>
        </w:trPr>
        <w:tc>
          <w:tcPr>
            <w:tcW w:w="852" w:type="dxa"/>
            <w:vMerge w:val="restart"/>
            <w:tcBorders>
              <w:top w:val="nil"/>
              <w:left w:val="single" w:color="auto" w:sz="8" w:space="0"/>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2</w:t>
            </w:r>
          </w:p>
        </w:tc>
        <w:tc>
          <w:tcPr>
            <w:tcW w:w="1559" w:type="dxa"/>
            <w:vMerge w:val="restart"/>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ACE转码模块</w:t>
            </w:r>
          </w:p>
        </w:tc>
        <w:tc>
          <w:tcPr>
            <w:tcW w:w="5103" w:type="dxa"/>
            <w:tcBorders>
              <w:top w:val="nil"/>
              <w:left w:val="nil"/>
              <w:bottom w:val="nil"/>
              <w:right w:val="single" w:color="auto" w:sz="8" w:space="0"/>
            </w:tcBorders>
            <w:shd w:val="clear" w:color="auto" w:fill="FFFFFF"/>
            <w:vAlign w:val="center"/>
          </w:tcPr>
          <w:p>
            <w:pPr>
              <w:widowControl/>
              <w:rPr>
                <w:sz w:val="21"/>
                <w:szCs w:val="21"/>
              </w:rPr>
            </w:pPr>
            <w:r>
              <w:rPr>
                <w:rFonts w:hint="eastAsia"/>
                <w:sz w:val="21"/>
                <w:szCs w:val="21"/>
              </w:rPr>
              <w:t>PRM-1K-IPC-ACE-0001</w:t>
            </w:r>
          </w:p>
        </w:tc>
        <w:tc>
          <w:tcPr>
            <w:tcW w:w="1134"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美国哈雷</w:t>
            </w:r>
          </w:p>
        </w:tc>
        <w:tc>
          <w:tcPr>
            <w:tcW w:w="709"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2块</w:t>
            </w:r>
          </w:p>
        </w:tc>
      </w:tr>
      <w:tr>
        <w:trPr>
          <w:cantSplit/>
          <w:trHeight w:val="480" w:hRule="atLeast"/>
        </w:trPr>
        <w:tc>
          <w:tcPr>
            <w:tcW w:w="852" w:type="dxa"/>
            <w:vMerge w:val="continue"/>
            <w:tcBorders>
              <w:top w:val="nil"/>
              <w:left w:val="single" w:color="auto" w:sz="8" w:space="0"/>
              <w:bottom w:val="single" w:color="auto" w:sz="8" w:space="0"/>
              <w:right w:val="single" w:color="auto" w:sz="8" w:space="0"/>
            </w:tcBorders>
            <w:vAlign w:val="center"/>
          </w:tcPr>
          <w:p>
            <w:pPr>
              <w:widowControl/>
              <w:rPr>
                <w:rFonts w:cs="Times New Roman"/>
                <w:b/>
                <w:bCs/>
                <w:sz w:val="21"/>
                <w:szCs w:val="21"/>
              </w:rPr>
            </w:pPr>
          </w:p>
        </w:tc>
        <w:tc>
          <w:tcPr>
            <w:tcW w:w="1559"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5103" w:type="dxa"/>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通用转码模块，支持MPEG2/H.264 SD/HD转码，通过软件授权控制</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9"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cantSplit/>
          <w:trHeight w:val="295" w:hRule="atLeast"/>
        </w:trPr>
        <w:tc>
          <w:tcPr>
            <w:tcW w:w="852" w:type="dxa"/>
            <w:vMerge w:val="restart"/>
            <w:tcBorders>
              <w:top w:val="nil"/>
              <w:left w:val="single" w:color="auto" w:sz="8" w:space="0"/>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3</w:t>
            </w:r>
          </w:p>
        </w:tc>
        <w:tc>
          <w:tcPr>
            <w:tcW w:w="1559" w:type="dxa"/>
            <w:vMerge w:val="restart"/>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ACE标清转码授权</w:t>
            </w:r>
          </w:p>
        </w:tc>
        <w:tc>
          <w:tcPr>
            <w:tcW w:w="5103" w:type="dxa"/>
            <w:tcBorders>
              <w:top w:val="nil"/>
              <w:left w:val="nil"/>
              <w:bottom w:val="nil"/>
              <w:right w:val="single" w:color="auto" w:sz="8" w:space="0"/>
            </w:tcBorders>
            <w:shd w:val="clear" w:color="auto" w:fill="FFFFFF"/>
            <w:vAlign w:val="center"/>
          </w:tcPr>
          <w:p>
            <w:pPr>
              <w:widowControl/>
              <w:rPr>
                <w:sz w:val="21"/>
                <w:szCs w:val="21"/>
              </w:rPr>
            </w:pPr>
            <w:r>
              <w:rPr>
                <w:rFonts w:hint="eastAsia"/>
                <w:sz w:val="21"/>
                <w:szCs w:val="21"/>
              </w:rPr>
              <w:t>FW-PRM-1K-ACE-AVC-OUT-SD</w:t>
            </w:r>
          </w:p>
        </w:tc>
        <w:tc>
          <w:tcPr>
            <w:tcW w:w="1134"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美国哈雷</w:t>
            </w:r>
          </w:p>
        </w:tc>
        <w:tc>
          <w:tcPr>
            <w:tcW w:w="709"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11套</w:t>
            </w:r>
          </w:p>
        </w:tc>
      </w:tr>
      <w:tr>
        <w:trPr>
          <w:cantSplit/>
          <w:trHeight w:val="280" w:hRule="atLeast"/>
        </w:trPr>
        <w:tc>
          <w:tcPr>
            <w:tcW w:w="852" w:type="dxa"/>
            <w:vMerge w:val="continue"/>
            <w:tcBorders>
              <w:top w:val="nil"/>
              <w:left w:val="single" w:color="auto" w:sz="8" w:space="0"/>
              <w:bottom w:val="single" w:color="auto" w:sz="8" w:space="0"/>
              <w:right w:val="single" w:color="auto" w:sz="8" w:space="0"/>
            </w:tcBorders>
            <w:vAlign w:val="center"/>
          </w:tcPr>
          <w:p>
            <w:pPr>
              <w:widowControl/>
              <w:rPr>
                <w:rFonts w:cs="Times New Roman"/>
                <w:b/>
                <w:bCs/>
                <w:sz w:val="21"/>
                <w:szCs w:val="21"/>
              </w:rPr>
            </w:pPr>
          </w:p>
        </w:tc>
        <w:tc>
          <w:tcPr>
            <w:tcW w:w="1559"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5103" w:type="dxa"/>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MPEG2/H.264标清转码授权</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9"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cantSplit/>
          <w:trHeight w:val="295" w:hRule="atLeast"/>
        </w:trPr>
        <w:tc>
          <w:tcPr>
            <w:tcW w:w="852" w:type="dxa"/>
            <w:vMerge w:val="restart"/>
            <w:tcBorders>
              <w:top w:val="nil"/>
              <w:left w:val="single" w:color="auto" w:sz="8" w:space="0"/>
              <w:bottom w:val="single" w:color="auto" w:sz="8" w:space="0"/>
              <w:right w:val="single" w:color="auto" w:sz="8" w:space="0"/>
            </w:tcBorders>
            <w:shd w:val="clear" w:color="auto" w:fill="FFFFFF"/>
            <w:vAlign w:val="center"/>
          </w:tcPr>
          <w:p>
            <w:pPr>
              <w:widowControl/>
              <w:rPr>
                <w:b/>
                <w:bCs/>
                <w:sz w:val="21"/>
                <w:szCs w:val="21"/>
              </w:rPr>
            </w:pPr>
            <w:r>
              <w:rPr>
                <w:rFonts w:hint="eastAsia"/>
                <w:b/>
                <w:bCs/>
                <w:sz w:val="21"/>
                <w:szCs w:val="21"/>
              </w:rPr>
              <w:t>4</w:t>
            </w:r>
          </w:p>
        </w:tc>
        <w:tc>
          <w:tcPr>
            <w:tcW w:w="1559" w:type="dxa"/>
            <w:vMerge w:val="restart"/>
            <w:tcBorders>
              <w:top w:val="nil"/>
              <w:left w:val="nil"/>
              <w:bottom w:val="single" w:color="auto" w:sz="8" w:space="0"/>
              <w:right w:val="single" w:color="auto" w:sz="8" w:space="0"/>
            </w:tcBorders>
            <w:shd w:val="clear" w:color="auto" w:fill="FFFFFF"/>
            <w:vAlign w:val="center"/>
          </w:tcPr>
          <w:p>
            <w:pPr>
              <w:widowControl/>
              <w:rPr>
                <w:sz w:val="21"/>
                <w:szCs w:val="21"/>
              </w:rPr>
            </w:pPr>
            <w:r>
              <w:rPr>
                <w:rFonts w:hint="eastAsia"/>
                <w:sz w:val="21"/>
                <w:szCs w:val="21"/>
              </w:rPr>
              <w:t>ACE高清转码授权</w:t>
            </w:r>
          </w:p>
        </w:tc>
        <w:tc>
          <w:tcPr>
            <w:tcW w:w="5103" w:type="dxa"/>
            <w:tcBorders>
              <w:top w:val="nil"/>
              <w:left w:val="nil"/>
              <w:bottom w:val="nil"/>
              <w:right w:val="single" w:color="auto" w:sz="8" w:space="0"/>
            </w:tcBorders>
            <w:shd w:val="clear" w:color="auto" w:fill="FFFFFF"/>
          </w:tcPr>
          <w:p>
            <w:pPr>
              <w:widowControl/>
              <w:rPr>
                <w:sz w:val="21"/>
                <w:szCs w:val="21"/>
              </w:rPr>
            </w:pPr>
            <w:r>
              <w:rPr>
                <w:rFonts w:hint="eastAsia"/>
                <w:sz w:val="21"/>
                <w:szCs w:val="21"/>
              </w:rPr>
              <w:t>FW-PRM-1K-ACE-AVC-OUT-HD</w:t>
            </w:r>
          </w:p>
        </w:tc>
        <w:tc>
          <w:tcPr>
            <w:tcW w:w="1134"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美国哈雷</w:t>
            </w:r>
          </w:p>
        </w:tc>
        <w:tc>
          <w:tcPr>
            <w:tcW w:w="709" w:type="dxa"/>
            <w:vMerge w:val="restart"/>
            <w:tcBorders>
              <w:top w:val="nil"/>
              <w:left w:val="nil"/>
              <w:bottom w:val="single" w:color="auto" w:sz="8" w:space="0"/>
              <w:right w:val="single" w:color="auto" w:sz="8" w:space="0"/>
            </w:tcBorders>
            <w:shd w:val="clear" w:color="auto" w:fill="FFFFFF"/>
            <w:vAlign w:val="center"/>
          </w:tcPr>
          <w:p>
            <w:pPr>
              <w:widowControl/>
              <w:jc w:val="center"/>
              <w:rPr>
                <w:sz w:val="21"/>
                <w:szCs w:val="21"/>
              </w:rPr>
            </w:pPr>
            <w:r>
              <w:rPr>
                <w:rFonts w:hint="eastAsia"/>
                <w:sz w:val="21"/>
                <w:szCs w:val="21"/>
              </w:rPr>
              <w:t>6套</w:t>
            </w:r>
          </w:p>
        </w:tc>
      </w:tr>
      <w:tr>
        <w:trPr>
          <w:cantSplit/>
          <w:trHeight w:val="280" w:hRule="atLeast"/>
        </w:trPr>
        <w:tc>
          <w:tcPr>
            <w:tcW w:w="852" w:type="dxa"/>
            <w:vMerge w:val="continue"/>
            <w:tcBorders>
              <w:top w:val="nil"/>
              <w:left w:val="single" w:color="auto" w:sz="8" w:space="0"/>
              <w:bottom w:val="single" w:color="auto" w:sz="8" w:space="0"/>
              <w:right w:val="single" w:color="auto" w:sz="8" w:space="0"/>
            </w:tcBorders>
            <w:vAlign w:val="center"/>
          </w:tcPr>
          <w:p>
            <w:pPr>
              <w:widowControl/>
              <w:rPr>
                <w:rFonts w:cs="Times New Roman"/>
                <w:b/>
                <w:bCs/>
                <w:sz w:val="21"/>
                <w:szCs w:val="21"/>
              </w:rPr>
            </w:pPr>
          </w:p>
        </w:tc>
        <w:tc>
          <w:tcPr>
            <w:tcW w:w="1559"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5103" w:type="dxa"/>
            <w:tcBorders>
              <w:top w:val="nil"/>
              <w:left w:val="nil"/>
              <w:bottom w:val="single" w:color="auto" w:sz="8" w:space="0"/>
              <w:right w:val="single" w:color="auto" w:sz="8" w:space="0"/>
            </w:tcBorders>
            <w:shd w:val="clear" w:color="auto" w:fill="FFFFFF"/>
          </w:tcPr>
          <w:p>
            <w:pPr>
              <w:widowControl/>
              <w:rPr>
                <w:sz w:val="21"/>
                <w:szCs w:val="21"/>
              </w:rPr>
            </w:pPr>
            <w:r>
              <w:rPr>
                <w:rFonts w:hint="eastAsia"/>
                <w:sz w:val="21"/>
                <w:szCs w:val="21"/>
              </w:rPr>
              <w:t>MPEG2/H.264高清视频转码授权</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9"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cantSplit/>
          <w:trHeight w:val="990" w:hRule="atLeast"/>
        </w:trPr>
        <w:tc>
          <w:tcPr>
            <w:tcW w:w="852" w:type="dxa"/>
            <w:vMerge w:val="restart"/>
            <w:tcBorders>
              <w:top w:val="nil"/>
              <w:left w:val="single" w:color="auto" w:sz="8" w:space="0"/>
              <w:bottom w:val="single" w:color="auto" w:sz="8" w:space="0"/>
              <w:right w:val="single" w:color="auto" w:sz="8" w:space="0"/>
            </w:tcBorders>
            <w:vAlign w:val="center"/>
          </w:tcPr>
          <w:p>
            <w:pPr>
              <w:widowControl/>
              <w:rPr>
                <w:sz w:val="21"/>
                <w:szCs w:val="21"/>
              </w:rPr>
            </w:pPr>
            <w:r>
              <w:rPr>
                <w:rFonts w:hint="eastAsia"/>
                <w:sz w:val="21"/>
                <w:szCs w:val="21"/>
              </w:rPr>
              <w:t>5</w:t>
            </w:r>
          </w:p>
        </w:tc>
        <w:tc>
          <w:tcPr>
            <w:tcW w:w="1559" w:type="dxa"/>
            <w:vMerge w:val="restart"/>
            <w:tcBorders>
              <w:top w:val="nil"/>
              <w:left w:val="nil"/>
              <w:bottom w:val="nil"/>
              <w:right w:val="single" w:color="auto" w:sz="8" w:space="0"/>
            </w:tcBorders>
            <w:vAlign w:val="center"/>
          </w:tcPr>
          <w:p>
            <w:pPr>
              <w:widowControl/>
              <w:jc w:val="center"/>
              <w:rPr>
                <w:sz w:val="21"/>
                <w:szCs w:val="21"/>
              </w:rPr>
            </w:pPr>
            <w:r>
              <w:rPr>
                <w:rFonts w:hint="eastAsia"/>
                <w:sz w:val="21"/>
                <w:szCs w:val="21"/>
              </w:rPr>
              <w:t>BHQP41多通道DVB-S/S2卫星数字电视监测卡</w:t>
            </w:r>
          </w:p>
        </w:tc>
        <w:tc>
          <w:tcPr>
            <w:tcW w:w="5103" w:type="dxa"/>
            <w:tcBorders>
              <w:top w:val="nil"/>
              <w:left w:val="nil"/>
              <w:bottom w:val="nil"/>
              <w:right w:val="single" w:color="auto" w:sz="8" w:space="0"/>
            </w:tcBorders>
          </w:tcPr>
          <w:p>
            <w:pPr>
              <w:widowControl/>
              <w:ind w:firstLine="420" w:firstLineChars="200"/>
              <w:rPr>
                <w:sz w:val="21"/>
                <w:szCs w:val="21"/>
              </w:rPr>
            </w:pPr>
            <w:r>
              <w:rPr>
                <w:rFonts w:hint="eastAsia"/>
                <w:sz w:val="21"/>
                <w:szCs w:val="21"/>
              </w:rPr>
              <w:t>BHQP41用于卫星数字电视信号监测。每块板卡可完成1~8路卫星数字电视信号接收、信道参数监测、码流分析、码流TS over IP输出功能，并增加了对DVB-S2信号接收及盲扫功能的支持。</w:t>
            </w:r>
          </w:p>
        </w:tc>
        <w:tc>
          <w:tcPr>
            <w:tcW w:w="1134" w:type="dxa"/>
            <w:vMerge w:val="restart"/>
            <w:tcBorders>
              <w:top w:val="nil"/>
              <w:left w:val="nil"/>
              <w:bottom w:val="single" w:color="auto" w:sz="8" w:space="0"/>
              <w:right w:val="single" w:color="auto" w:sz="8" w:space="0"/>
            </w:tcBorders>
            <w:vAlign w:val="center"/>
          </w:tcPr>
          <w:p>
            <w:pPr>
              <w:widowControl/>
              <w:jc w:val="center"/>
              <w:rPr>
                <w:sz w:val="21"/>
                <w:szCs w:val="21"/>
              </w:rPr>
            </w:pPr>
            <w:r>
              <w:rPr>
                <w:rFonts w:hint="eastAsia"/>
                <w:sz w:val="21"/>
                <w:szCs w:val="21"/>
              </w:rPr>
              <w:t>北京博汇</w:t>
            </w:r>
          </w:p>
        </w:tc>
        <w:tc>
          <w:tcPr>
            <w:tcW w:w="709" w:type="dxa"/>
            <w:vMerge w:val="restart"/>
            <w:tcBorders>
              <w:top w:val="nil"/>
              <w:left w:val="nil"/>
              <w:bottom w:val="single" w:color="auto" w:sz="8" w:space="0"/>
              <w:right w:val="single" w:color="auto" w:sz="8" w:space="0"/>
            </w:tcBorders>
            <w:vAlign w:val="center"/>
          </w:tcPr>
          <w:p>
            <w:pPr>
              <w:widowControl/>
              <w:jc w:val="center"/>
              <w:rPr>
                <w:sz w:val="21"/>
                <w:szCs w:val="21"/>
              </w:rPr>
            </w:pPr>
            <w:r>
              <w:rPr>
                <w:rFonts w:hint="eastAsia"/>
                <w:sz w:val="21"/>
                <w:szCs w:val="21"/>
              </w:rPr>
              <w:t>2块</w:t>
            </w:r>
          </w:p>
        </w:tc>
      </w:tr>
      <w:tr>
        <w:trPr>
          <w:cantSplit/>
          <w:trHeight w:val="1920" w:hRule="atLeast"/>
        </w:trPr>
        <w:tc>
          <w:tcPr>
            <w:tcW w:w="852" w:type="dxa"/>
            <w:vMerge w:val="continue"/>
            <w:tcBorders>
              <w:top w:val="nil"/>
              <w:left w:val="single" w:color="auto" w:sz="8" w:space="0"/>
              <w:bottom w:val="single" w:color="auto" w:sz="8" w:space="0"/>
              <w:right w:val="single" w:color="auto" w:sz="8" w:space="0"/>
            </w:tcBorders>
            <w:vAlign w:val="center"/>
          </w:tcPr>
          <w:p>
            <w:pPr>
              <w:widowControl/>
              <w:rPr>
                <w:rFonts w:cs="Times New Roman"/>
                <w:sz w:val="21"/>
                <w:szCs w:val="21"/>
              </w:rPr>
            </w:pPr>
          </w:p>
        </w:tc>
        <w:tc>
          <w:tcPr>
            <w:tcW w:w="1559" w:type="dxa"/>
            <w:vMerge w:val="continue"/>
            <w:tcBorders>
              <w:top w:val="nil"/>
              <w:left w:val="nil"/>
              <w:bottom w:val="nil"/>
              <w:right w:val="single" w:color="auto" w:sz="8" w:space="0"/>
            </w:tcBorders>
            <w:vAlign w:val="center"/>
          </w:tcPr>
          <w:p>
            <w:pPr>
              <w:widowControl/>
              <w:rPr>
                <w:rFonts w:cs="Times New Roman"/>
                <w:sz w:val="21"/>
                <w:szCs w:val="21"/>
              </w:rPr>
            </w:pPr>
          </w:p>
        </w:tc>
        <w:tc>
          <w:tcPr>
            <w:tcW w:w="5103" w:type="dxa"/>
            <w:tcBorders>
              <w:top w:val="nil"/>
              <w:left w:val="nil"/>
              <w:bottom w:val="nil"/>
              <w:right w:val="single" w:color="auto" w:sz="8" w:space="0"/>
            </w:tcBorders>
          </w:tcPr>
          <w:p>
            <w:pPr>
              <w:widowControl/>
              <w:ind w:firstLine="420" w:firstLineChars="200"/>
              <w:rPr>
                <w:sz w:val="21"/>
                <w:szCs w:val="21"/>
              </w:rPr>
            </w:pPr>
            <w:r>
              <w:rPr>
                <w:rFonts w:hint="eastAsia"/>
                <w:sz w:val="21"/>
                <w:szCs w:val="21"/>
              </w:rPr>
              <w:t>板卡可监测的信道指标有：射频信号的锁定状态、载波电平、载噪比（C/N）、Eb/N0、BER（维特比纠错前）、符码率偏移、频点偏移；同时对解调输出的TS流进行TR101 290三级码流错误监测及告警；并将TS流打包成IP流输出。</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9"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cantSplit/>
          <w:trHeight w:val="1200" w:hRule="atLeast"/>
        </w:trPr>
        <w:tc>
          <w:tcPr>
            <w:tcW w:w="852" w:type="dxa"/>
            <w:vMerge w:val="continue"/>
            <w:tcBorders>
              <w:top w:val="nil"/>
              <w:left w:val="single" w:color="auto" w:sz="8" w:space="0"/>
              <w:bottom w:val="single" w:color="auto" w:sz="8" w:space="0"/>
              <w:right w:val="single" w:color="auto" w:sz="8" w:space="0"/>
            </w:tcBorders>
            <w:vAlign w:val="center"/>
          </w:tcPr>
          <w:p>
            <w:pPr>
              <w:widowControl/>
              <w:rPr>
                <w:rFonts w:cs="Times New Roman"/>
                <w:sz w:val="21"/>
                <w:szCs w:val="21"/>
              </w:rPr>
            </w:pPr>
          </w:p>
        </w:tc>
        <w:tc>
          <w:tcPr>
            <w:tcW w:w="1559" w:type="dxa"/>
            <w:vMerge w:val="continue"/>
            <w:tcBorders>
              <w:top w:val="nil"/>
              <w:left w:val="nil"/>
              <w:bottom w:val="nil"/>
              <w:right w:val="single" w:color="auto" w:sz="8" w:space="0"/>
            </w:tcBorders>
            <w:vAlign w:val="center"/>
          </w:tcPr>
          <w:p>
            <w:pPr>
              <w:widowControl/>
              <w:rPr>
                <w:rFonts w:cs="Times New Roman"/>
                <w:sz w:val="21"/>
                <w:szCs w:val="21"/>
              </w:rPr>
            </w:pPr>
          </w:p>
        </w:tc>
        <w:tc>
          <w:tcPr>
            <w:tcW w:w="5103" w:type="dxa"/>
            <w:tcBorders>
              <w:top w:val="nil"/>
              <w:left w:val="nil"/>
              <w:bottom w:val="nil"/>
              <w:right w:val="single" w:color="auto" w:sz="8" w:space="0"/>
            </w:tcBorders>
          </w:tcPr>
          <w:p>
            <w:pPr>
              <w:widowControl/>
              <w:ind w:firstLine="420" w:firstLineChars="200"/>
              <w:rPr>
                <w:sz w:val="21"/>
                <w:szCs w:val="21"/>
              </w:rPr>
            </w:pPr>
            <w:r>
              <w:rPr>
                <w:rFonts w:hint="eastAsia"/>
                <w:sz w:val="21"/>
                <w:szCs w:val="21"/>
              </w:rPr>
              <w:t>BHQP41同时集成了成熟的防范非法攻击功能，可完成准确的非法攻击及雨雪衰降判断，并同时完成备用信号切换、及手动恢复控制。</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9"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cantSplit/>
          <w:trHeight w:val="480" w:hRule="atLeast"/>
        </w:trPr>
        <w:tc>
          <w:tcPr>
            <w:tcW w:w="852" w:type="dxa"/>
            <w:vMerge w:val="continue"/>
            <w:tcBorders>
              <w:top w:val="nil"/>
              <w:left w:val="single" w:color="auto" w:sz="8" w:space="0"/>
              <w:bottom w:val="single" w:color="auto" w:sz="8" w:space="0"/>
              <w:right w:val="single" w:color="auto" w:sz="8" w:space="0"/>
            </w:tcBorders>
            <w:vAlign w:val="center"/>
          </w:tcPr>
          <w:p>
            <w:pPr>
              <w:widowControl/>
              <w:rPr>
                <w:rFonts w:cs="Times New Roman"/>
                <w:sz w:val="21"/>
                <w:szCs w:val="21"/>
              </w:rPr>
            </w:pPr>
          </w:p>
        </w:tc>
        <w:tc>
          <w:tcPr>
            <w:tcW w:w="1559" w:type="dxa"/>
            <w:vMerge w:val="continue"/>
            <w:tcBorders>
              <w:top w:val="nil"/>
              <w:left w:val="nil"/>
              <w:bottom w:val="nil"/>
              <w:right w:val="single" w:color="auto" w:sz="8" w:space="0"/>
            </w:tcBorders>
            <w:vAlign w:val="center"/>
          </w:tcPr>
          <w:p>
            <w:pPr>
              <w:widowControl/>
              <w:rPr>
                <w:rFonts w:cs="Times New Roman"/>
                <w:sz w:val="21"/>
                <w:szCs w:val="21"/>
              </w:rPr>
            </w:pPr>
          </w:p>
        </w:tc>
        <w:tc>
          <w:tcPr>
            <w:tcW w:w="5103" w:type="dxa"/>
            <w:tcBorders>
              <w:top w:val="nil"/>
              <w:left w:val="nil"/>
              <w:bottom w:val="nil"/>
              <w:right w:val="single" w:color="auto" w:sz="8" w:space="0"/>
            </w:tcBorders>
          </w:tcPr>
          <w:p>
            <w:pPr>
              <w:widowControl/>
              <w:rPr>
                <w:sz w:val="21"/>
                <w:szCs w:val="21"/>
              </w:rPr>
            </w:pPr>
            <w:r>
              <w:rPr>
                <w:rFonts w:hint="eastAsia"/>
                <w:sz w:val="21"/>
                <w:szCs w:val="21"/>
              </w:rPr>
              <w:t>BHQP41多通道DVB-S/S2卫星数字电视监测卡具有先进的卫星信号防非监测功能。</w:t>
            </w:r>
          </w:p>
        </w:tc>
        <w:tc>
          <w:tcPr>
            <w:tcW w:w="1134"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c>
          <w:tcPr>
            <w:tcW w:w="709" w:type="dxa"/>
            <w:vMerge w:val="continue"/>
            <w:tcBorders>
              <w:top w:val="nil"/>
              <w:left w:val="nil"/>
              <w:bottom w:val="single" w:color="auto" w:sz="8" w:space="0"/>
              <w:right w:val="single" w:color="auto" w:sz="8" w:space="0"/>
            </w:tcBorders>
            <w:vAlign w:val="center"/>
          </w:tcPr>
          <w:p>
            <w:pPr>
              <w:widowControl/>
              <w:rPr>
                <w:rFonts w:cs="Times New Roman"/>
                <w:sz w:val="21"/>
                <w:szCs w:val="21"/>
              </w:rPr>
            </w:pPr>
          </w:p>
        </w:tc>
      </w:tr>
      <w:tr>
        <w:trPr>
          <w:cantSplit/>
          <w:trHeight w:val="280" w:hRule="atLeast"/>
        </w:trPr>
        <w:tc>
          <w:tcPr>
            <w:tcW w:w="852" w:type="dxa"/>
            <w:tcBorders>
              <w:top w:val="single" w:color="auto" w:sz="8" w:space="0"/>
              <w:left w:val="single" w:color="auto" w:sz="8" w:space="0"/>
              <w:bottom w:val="single" w:color="auto" w:sz="8" w:space="0"/>
              <w:right w:val="single" w:color="auto" w:sz="8" w:space="0"/>
            </w:tcBorders>
            <w:vAlign w:val="center"/>
          </w:tcPr>
          <w:p>
            <w:pPr>
              <w:widowControl/>
              <w:rPr>
                <w:sz w:val="21"/>
                <w:szCs w:val="21"/>
              </w:rPr>
            </w:pPr>
            <w:r>
              <w:rPr>
                <w:rFonts w:hint="eastAsia"/>
                <w:sz w:val="21"/>
                <w:szCs w:val="21"/>
              </w:rPr>
              <w:t>6</w:t>
            </w:r>
          </w:p>
        </w:tc>
        <w:tc>
          <w:tcPr>
            <w:tcW w:w="1559" w:type="dxa"/>
            <w:tcBorders>
              <w:top w:val="single" w:color="auto" w:sz="8" w:space="0"/>
              <w:left w:val="nil"/>
              <w:bottom w:val="single" w:color="auto" w:sz="8" w:space="0"/>
              <w:right w:val="single" w:color="auto" w:sz="8" w:space="0"/>
            </w:tcBorders>
          </w:tcPr>
          <w:p>
            <w:pPr>
              <w:widowControl/>
              <w:rPr>
                <w:sz w:val="21"/>
                <w:szCs w:val="21"/>
              </w:rPr>
            </w:pPr>
            <w:r>
              <w:rPr>
                <w:rFonts w:hint="eastAsia"/>
                <w:sz w:val="21"/>
                <w:szCs w:val="21"/>
              </w:rPr>
              <w:t>功分器</w:t>
            </w:r>
          </w:p>
        </w:tc>
        <w:tc>
          <w:tcPr>
            <w:tcW w:w="5103" w:type="dxa"/>
            <w:tcBorders>
              <w:top w:val="single" w:color="auto" w:sz="8" w:space="0"/>
              <w:left w:val="nil"/>
              <w:bottom w:val="single" w:color="auto" w:sz="8" w:space="0"/>
              <w:right w:val="single" w:color="auto" w:sz="8" w:space="0"/>
            </w:tcBorders>
            <w:vAlign w:val="center"/>
          </w:tcPr>
          <w:p>
            <w:pPr>
              <w:widowControl/>
              <w:jc w:val="center"/>
              <w:rPr>
                <w:sz w:val="21"/>
                <w:szCs w:val="21"/>
              </w:rPr>
            </w:pPr>
            <w:r>
              <w:rPr>
                <w:rFonts w:hint="eastAsia"/>
                <w:sz w:val="21"/>
                <w:szCs w:val="21"/>
              </w:rPr>
              <w:t>1分16功分器</w:t>
            </w:r>
          </w:p>
        </w:tc>
        <w:tc>
          <w:tcPr>
            <w:tcW w:w="1134" w:type="dxa"/>
            <w:tcBorders>
              <w:top w:val="single" w:color="auto" w:sz="8" w:space="0"/>
              <w:left w:val="nil"/>
              <w:bottom w:val="single" w:color="auto" w:sz="8" w:space="0"/>
              <w:right w:val="single" w:color="auto" w:sz="8" w:space="0"/>
            </w:tcBorders>
            <w:vAlign w:val="center"/>
          </w:tcPr>
          <w:p>
            <w:pPr>
              <w:widowControl/>
              <w:jc w:val="center"/>
              <w:rPr>
                <w:sz w:val="21"/>
                <w:szCs w:val="21"/>
              </w:rPr>
            </w:pPr>
            <w:r>
              <w:rPr>
                <w:rFonts w:hint="eastAsia"/>
                <w:sz w:val="21"/>
                <w:szCs w:val="21"/>
              </w:rPr>
              <w:t>PBI</w:t>
            </w:r>
          </w:p>
        </w:tc>
        <w:tc>
          <w:tcPr>
            <w:tcW w:w="709" w:type="dxa"/>
            <w:tcBorders>
              <w:top w:val="single" w:color="auto" w:sz="8" w:space="0"/>
              <w:left w:val="nil"/>
              <w:bottom w:val="single" w:color="auto" w:sz="8" w:space="0"/>
              <w:right w:val="single" w:color="auto" w:sz="8" w:space="0"/>
            </w:tcBorders>
            <w:vAlign w:val="center"/>
          </w:tcPr>
          <w:p>
            <w:pPr>
              <w:widowControl/>
              <w:rPr>
                <w:sz w:val="21"/>
                <w:szCs w:val="21"/>
              </w:rPr>
            </w:pPr>
            <w:r>
              <w:rPr>
                <w:rFonts w:hint="eastAsia"/>
                <w:sz w:val="21"/>
                <w:szCs w:val="21"/>
              </w:rPr>
              <w:t>5台</w:t>
            </w:r>
          </w:p>
        </w:tc>
      </w:tr>
    </w:tbl>
    <w:p>
      <w:pPr>
        <w:rPr>
          <w:rFonts w:cs="Times New Roman"/>
          <w:kern w:val="2"/>
          <w:sz w:val="21"/>
          <w:szCs w:val="21"/>
        </w:rPr>
      </w:pPr>
    </w:p>
    <w:p>
      <w:bookmarkStart w:id="5" w:name="_Toc114156840"/>
      <w:r>
        <w:rPr>
          <w:rFonts w:hint="eastAsia"/>
        </w:rPr>
        <w:t>2.3 设备使用情况</w:t>
      </w:r>
      <w:bookmarkEnd w:id="5"/>
    </w:p>
    <w:p>
      <w:pPr>
        <w:rPr>
          <w:sz w:val="21"/>
          <w:szCs w:val="21"/>
        </w:rPr>
      </w:pPr>
      <w:r>
        <w:rPr>
          <w:rFonts w:hint="eastAsia"/>
          <w:sz w:val="21"/>
          <w:szCs w:val="21"/>
        </w:rPr>
        <w:t xml:space="preserve">   目前，上述6个合同的设备，除了卫星天线改造部分均部署于人民北电台13楼天面，其他设备均部署于环市东主楼3楼IPTV机房。提供IPTV播控平台的卫星信号接收/转码能力，</w:t>
      </w:r>
      <w:r>
        <w:rPr>
          <w:rFonts w:hint="eastAsia"/>
          <w:sz w:val="21"/>
          <w:szCs w:val="21"/>
          <w:lang w:eastAsia="zh-Hans"/>
        </w:rPr>
        <w:t>合共80台设备，</w:t>
      </w:r>
      <w:r>
        <w:rPr>
          <w:rFonts w:hint="eastAsia"/>
          <w:sz w:val="21"/>
          <w:szCs w:val="21"/>
        </w:rPr>
        <w:t>服务于IPTV播控平台129个频道，面向IPTV用户。</w:t>
      </w:r>
    </w:p>
    <w:p>
      <w:pPr>
        <w:numPr>
          <w:ilvl w:val="0"/>
          <w:numId w:val="1"/>
        </w:numPr>
        <w:rPr>
          <w:rFonts w:hint="eastAsia"/>
          <w:sz w:val="21"/>
          <w:szCs w:val="21"/>
        </w:rPr>
      </w:pPr>
      <w:r>
        <w:rPr>
          <w:rFonts w:hint="eastAsia"/>
          <w:sz w:val="21"/>
          <w:szCs w:val="21"/>
        </w:rPr>
        <w:t>环市东信源：99个频道信号</w:t>
      </w:r>
    </w:p>
    <w:p>
      <w:pPr>
        <w:numPr>
          <w:ilvl w:val="0"/>
          <w:numId w:val="1"/>
        </w:numPr>
        <w:rPr>
          <w:sz w:val="21"/>
          <w:szCs w:val="21"/>
        </w:rPr>
      </w:pPr>
      <w:r>
        <w:rPr>
          <w:rFonts w:hint="eastAsia"/>
          <w:sz w:val="21"/>
          <w:szCs w:val="21"/>
        </w:rPr>
        <w:t>人民北信源：30个频道信号</w:t>
      </w:r>
    </w:p>
    <w:p>
      <w:pPr>
        <w:rPr>
          <w:rFonts w:cs="Times New Roman"/>
          <w:kern w:val="2"/>
          <w:sz w:val="21"/>
          <w:szCs w:val="21"/>
        </w:rPr>
      </w:pPr>
    </w:p>
    <w:p>
      <w:bookmarkStart w:id="6" w:name="_Toc114156841"/>
      <w:bookmarkStart w:id="7" w:name="_Toc408387842"/>
      <w:r>
        <w:rPr>
          <w:rFonts w:hint="eastAsia"/>
        </w:rPr>
        <w:t>三、采购方式</w:t>
      </w:r>
      <w:bookmarkEnd w:id="6"/>
      <w:bookmarkEnd w:id="7"/>
    </w:p>
    <w:p>
      <w:pPr>
        <w:widowControl/>
        <w:ind w:firstLine="420" w:firstLineChars="200"/>
        <w:rPr>
          <w:sz w:val="21"/>
          <w:szCs w:val="21"/>
          <w:lang w:eastAsia="zh-Hans"/>
        </w:rPr>
      </w:pPr>
      <w:r>
        <w:rPr>
          <w:rFonts w:hint="eastAsia"/>
          <w:sz w:val="21"/>
          <w:szCs w:val="21"/>
        </w:rPr>
        <w:t>本次计划对上述6个合同中需要续保的部分续保至2025年12月31日，拟采用公开招标的采购方式进行采购，在技术部杂项费（IPTV）支出。</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2693"/>
        <w:gridCol w:w="2018"/>
        <w:gridCol w:w="1793"/>
        <w:gridCol w:w="1118"/>
      </w:tblGrid>
      <w:tr>
        <w:trPr>
          <w:tblHeader/>
        </w:trPr>
        <w:tc>
          <w:tcPr>
            <w:tcW w:w="528"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序号</w:t>
            </w:r>
          </w:p>
        </w:tc>
        <w:tc>
          <w:tcPr>
            <w:tcW w:w="1580"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项目名称</w:t>
            </w:r>
          </w:p>
        </w:tc>
        <w:tc>
          <w:tcPr>
            <w:tcW w:w="1184"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维保/质保到期日期</w:t>
            </w:r>
          </w:p>
        </w:tc>
        <w:tc>
          <w:tcPr>
            <w:tcW w:w="1052"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需签维保日期</w:t>
            </w:r>
          </w:p>
        </w:tc>
        <w:tc>
          <w:tcPr>
            <w:tcW w:w="657"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维保时间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8"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1</w:t>
            </w:r>
          </w:p>
        </w:tc>
        <w:tc>
          <w:tcPr>
            <w:tcW w:w="1580"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南方新媒体IPTV集成播控平台卫星信号备份系统维保项目</w:t>
            </w:r>
          </w:p>
        </w:tc>
        <w:tc>
          <w:tcPr>
            <w:tcW w:w="1184"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2022年12月31日</w:t>
            </w:r>
          </w:p>
        </w:tc>
        <w:tc>
          <w:tcPr>
            <w:tcW w:w="1052"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2025年12月31日</w:t>
            </w:r>
          </w:p>
        </w:tc>
        <w:tc>
          <w:tcPr>
            <w:tcW w:w="657"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8"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w:t>
            </w:r>
          </w:p>
        </w:tc>
        <w:tc>
          <w:tcPr>
            <w:tcW w:w="1580"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南方新媒体卫星信号后端系统扩容采购项目</w:t>
            </w:r>
          </w:p>
        </w:tc>
        <w:tc>
          <w:tcPr>
            <w:tcW w:w="1184"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2022年12月31日</w:t>
            </w:r>
          </w:p>
        </w:tc>
        <w:tc>
          <w:tcPr>
            <w:tcW w:w="1052"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2025年12月31日</w:t>
            </w:r>
          </w:p>
        </w:tc>
        <w:tc>
          <w:tcPr>
            <w:tcW w:w="657"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8"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3</w:t>
            </w:r>
          </w:p>
        </w:tc>
        <w:tc>
          <w:tcPr>
            <w:tcW w:w="1580"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南方新媒体IPTV平台卫星信号转码设备扩容采购项目</w:t>
            </w:r>
          </w:p>
        </w:tc>
        <w:tc>
          <w:tcPr>
            <w:tcW w:w="1184"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2022年12月31日</w:t>
            </w:r>
          </w:p>
        </w:tc>
        <w:tc>
          <w:tcPr>
            <w:tcW w:w="1052"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2025年12月31日</w:t>
            </w:r>
          </w:p>
        </w:tc>
        <w:tc>
          <w:tcPr>
            <w:tcW w:w="657"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8"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4</w:t>
            </w:r>
          </w:p>
        </w:tc>
        <w:tc>
          <w:tcPr>
            <w:tcW w:w="1580"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IPTV集成播控平台信源接收及安全监测系统</w:t>
            </w:r>
          </w:p>
        </w:tc>
        <w:tc>
          <w:tcPr>
            <w:tcW w:w="1184"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2022年12月31日</w:t>
            </w:r>
          </w:p>
        </w:tc>
        <w:tc>
          <w:tcPr>
            <w:tcW w:w="1052"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2025年12月31日</w:t>
            </w:r>
          </w:p>
        </w:tc>
        <w:tc>
          <w:tcPr>
            <w:tcW w:w="657"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8"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5</w:t>
            </w:r>
          </w:p>
        </w:tc>
        <w:tc>
          <w:tcPr>
            <w:tcW w:w="1580"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南方广播影视传媒集团IPTV集成播控平台信源接收及安全监测系统扩容采购项目</w:t>
            </w:r>
          </w:p>
        </w:tc>
        <w:tc>
          <w:tcPr>
            <w:tcW w:w="1184"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2022年12月31日</w:t>
            </w:r>
          </w:p>
        </w:tc>
        <w:tc>
          <w:tcPr>
            <w:tcW w:w="1052"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2025年12月31日</w:t>
            </w:r>
          </w:p>
        </w:tc>
        <w:tc>
          <w:tcPr>
            <w:tcW w:w="657"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8"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6</w:t>
            </w:r>
          </w:p>
        </w:tc>
        <w:tc>
          <w:tcPr>
            <w:tcW w:w="1580"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广东IPTV卫星信号源接收转码与监测扩容采购项目</w:t>
            </w:r>
          </w:p>
        </w:tc>
        <w:tc>
          <w:tcPr>
            <w:tcW w:w="1184"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2022年12月31日</w:t>
            </w:r>
          </w:p>
        </w:tc>
        <w:tc>
          <w:tcPr>
            <w:tcW w:w="1052"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2025年12月31日</w:t>
            </w:r>
          </w:p>
        </w:tc>
        <w:tc>
          <w:tcPr>
            <w:tcW w:w="657" w:type="pct"/>
            <w:tcBorders>
              <w:top w:val="single" w:color="auto" w:sz="4" w:space="0"/>
              <w:left w:val="single" w:color="auto" w:sz="4" w:space="0"/>
              <w:bottom w:val="single" w:color="auto" w:sz="4" w:space="0"/>
              <w:right w:val="single" w:color="auto" w:sz="4" w:space="0"/>
            </w:tcBorders>
            <w:vAlign w:val="center"/>
          </w:tcPr>
          <w:p>
            <w:pPr>
              <w:jc w:val="center"/>
              <w:rPr>
                <w:rFonts w:cstheme="minorEastAsia"/>
                <w:sz w:val="21"/>
                <w:szCs w:val="21"/>
              </w:rPr>
            </w:pPr>
            <w:r>
              <w:rPr>
                <w:rFonts w:hint="eastAsia" w:cstheme="minorEastAsia"/>
                <w:sz w:val="21"/>
                <w:szCs w:val="21"/>
              </w:rPr>
              <w:t>3年</w:t>
            </w:r>
          </w:p>
        </w:tc>
      </w:tr>
    </w:tbl>
    <w:p>
      <w:pPr>
        <w:spacing w:line="360" w:lineRule="auto"/>
        <w:rPr>
          <w:spacing w:val="-10"/>
          <w:sz w:val="21"/>
          <w:szCs w:val="21"/>
        </w:rPr>
      </w:pPr>
      <w:bookmarkStart w:id="8" w:name="_Toc114156842"/>
      <w:r>
        <w:rPr>
          <w:rFonts w:hint="eastAsia"/>
        </w:rPr>
        <w:t>四</w:t>
      </w:r>
      <w:bookmarkEnd w:id="8"/>
      <w:r>
        <w:rPr>
          <w:rFonts w:hint="eastAsia"/>
          <w:spacing w:val="-10"/>
          <w:sz w:val="21"/>
          <w:szCs w:val="21"/>
        </w:rPr>
        <w:t>、维保描述</w:t>
      </w:r>
    </w:p>
    <w:tbl>
      <w:tblPr>
        <w:tblStyle w:val="19"/>
        <w:tblW w:w="8522" w:type="dxa"/>
        <w:jc w:val="center"/>
        <w:tblLayout w:type="fixed"/>
        <w:tblCellMar>
          <w:top w:w="0" w:type="dxa"/>
          <w:left w:w="108" w:type="dxa"/>
          <w:bottom w:w="0" w:type="dxa"/>
          <w:right w:w="108" w:type="dxa"/>
        </w:tblCellMar>
      </w:tblPr>
      <w:tblGrid>
        <w:gridCol w:w="670"/>
        <w:gridCol w:w="2393"/>
        <w:gridCol w:w="5459"/>
      </w:tblGrid>
      <w:tr>
        <w:trPr>
          <w:trHeight w:val="575" w:hRule="atLeast"/>
          <w:jc w:val="center"/>
        </w:trPr>
        <w:tc>
          <w:tcPr>
            <w:tcW w:w="670" w:type="dxa"/>
            <w:tcBorders>
              <w:top w:val="single" w:color="auto" w:sz="4" w:space="0"/>
              <w:left w:val="single" w:color="auto" w:sz="4" w:space="0"/>
              <w:bottom w:val="single" w:color="auto" w:sz="4" w:space="0"/>
              <w:right w:val="single" w:color="auto" w:sz="4" w:space="0"/>
            </w:tcBorders>
            <w:shd w:val="clear" w:color="000000" w:fill="D9D9D9"/>
            <w:vAlign w:val="center"/>
          </w:tcPr>
          <w:p>
            <w:pPr>
              <w:jc w:val="center"/>
              <w:rPr>
                <w:b/>
                <w:color w:val="000000"/>
                <w:sz w:val="21"/>
                <w:szCs w:val="21"/>
              </w:rPr>
            </w:pPr>
            <w:r>
              <w:rPr>
                <w:rFonts w:hint="eastAsia"/>
                <w:b/>
                <w:color w:val="000000"/>
                <w:sz w:val="21"/>
                <w:szCs w:val="21"/>
              </w:rPr>
              <w:t>序号</w:t>
            </w:r>
          </w:p>
        </w:tc>
        <w:tc>
          <w:tcPr>
            <w:tcW w:w="2393" w:type="dxa"/>
            <w:tcBorders>
              <w:top w:val="single" w:color="auto" w:sz="4" w:space="0"/>
              <w:left w:val="single" w:color="auto" w:sz="4" w:space="0"/>
              <w:bottom w:val="single" w:color="auto" w:sz="4" w:space="0"/>
              <w:right w:val="single" w:color="auto" w:sz="4" w:space="0"/>
            </w:tcBorders>
            <w:shd w:val="clear" w:color="000000" w:fill="D9D9D9"/>
            <w:vAlign w:val="center"/>
          </w:tcPr>
          <w:p>
            <w:pPr>
              <w:jc w:val="center"/>
              <w:rPr>
                <w:b/>
                <w:color w:val="000000"/>
                <w:sz w:val="21"/>
                <w:szCs w:val="21"/>
              </w:rPr>
            </w:pPr>
            <w:r>
              <w:rPr>
                <w:rFonts w:hint="eastAsia"/>
                <w:b/>
                <w:color w:val="000000"/>
                <w:sz w:val="21"/>
                <w:szCs w:val="21"/>
              </w:rPr>
              <w:t>服务内容</w:t>
            </w:r>
          </w:p>
        </w:tc>
        <w:tc>
          <w:tcPr>
            <w:tcW w:w="5459" w:type="dxa"/>
            <w:tcBorders>
              <w:top w:val="single" w:color="auto" w:sz="4" w:space="0"/>
              <w:left w:val="nil"/>
              <w:bottom w:val="single" w:color="auto" w:sz="4" w:space="0"/>
              <w:right w:val="single" w:color="auto" w:sz="4" w:space="0"/>
            </w:tcBorders>
            <w:shd w:val="clear" w:color="000000" w:fill="D9D9D9"/>
            <w:vAlign w:val="center"/>
          </w:tcPr>
          <w:p>
            <w:pPr>
              <w:jc w:val="center"/>
              <w:rPr>
                <w:b/>
                <w:color w:val="000000"/>
                <w:sz w:val="21"/>
                <w:szCs w:val="21"/>
              </w:rPr>
            </w:pPr>
            <w:r>
              <w:rPr>
                <w:rFonts w:hint="eastAsia"/>
                <w:b/>
                <w:color w:val="000000"/>
                <w:sz w:val="21"/>
                <w:szCs w:val="21"/>
              </w:rPr>
              <w:t>服务内容描述</w:t>
            </w:r>
          </w:p>
        </w:tc>
      </w:tr>
      <w:tr>
        <w:trPr>
          <w:trHeight w:val="449" w:hRule="atLeast"/>
          <w:jc w:val="center"/>
        </w:trPr>
        <w:tc>
          <w:tcPr>
            <w:tcW w:w="670" w:type="dxa"/>
            <w:tcBorders>
              <w:top w:val="nil"/>
              <w:left w:val="single" w:color="auto" w:sz="4" w:space="0"/>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1</w:t>
            </w:r>
          </w:p>
        </w:tc>
        <w:tc>
          <w:tcPr>
            <w:tcW w:w="2393" w:type="dxa"/>
            <w:tcBorders>
              <w:top w:val="nil"/>
              <w:left w:val="single" w:color="auto" w:sz="4" w:space="0"/>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Help Desk</w:t>
            </w:r>
          </w:p>
        </w:tc>
        <w:tc>
          <w:tcPr>
            <w:tcW w:w="5459" w:type="dxa"/>
            <w:tcBorders>
              <w:top w:val="nil"/>
              <w:left w:val="nil"/>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7×24覆盖，实时响应</w:t>
            </w:r>
          </w:p>
        </w:tc>
      </w:tr>
      <w:tr>
        <w:trPr>
          <w:trHeight w:val="530" w:hRule="atLeast"/>
          <w:jc w:val="center"/>
        </w:trPr>
        <w:tc>
          <w:tcPr>
            <w:tcW w:w="670" w:type="dxa"/>
            <w:tcBorders>
              <w:top w:val="nil"/>
              <w:left w:val="single" w:color="auto" w:sz="4" w:space="0"/>
              <w:bottom w:val="nil"/>
              <w:right w:val="single" w:color="auto" w:sz="4" w:space="0"/>
            </w:tcBorders>
            <w:vAlign w:val="center"/>
          </w:tcPr>
          <w:p>
            <w:pPr>
              <w:jc w:val="center"/>
              <w:rPr>
                <w:color w:val="000000"/>
                <w:sz w:val="21"/>
                <w:szCs w:val="21"/>
              </w:rPr>
            </w:pPr>
            <w:r>
              <w:rPr>
                <w:rFonts w:hint="eastAsia"/>
                <w:color w:val="000000"/>
                <w:sz w:val="21"/>
                <w:szCs w:val="21"/>
              </w:rPr>
              <w:t>2</w:t>
            </w:r>
          </w:p>
        </w:tc>
        <w:tc>
          <w:tcPr>
            <w:tcW w:w="2393" w:type="dxa"/>
            <w:tcBorders>
              <w:top w:val="nil"/>
              <w:left w:val="single" w:color="auto" w:sz="4" w:space="0"/>
              <w:bottom w:val="nil"/>
              <w:right w:val="single" w:color="auto" w:sz="4" w:space="0"/>
            </w:tcBorders>
            <w:vAlign w:val="center"/>
          </w:tcPr>
          <w:p>
            <w:pPr>
              <w:jc w:val="center"/>
              <w:rPr>
                <w:color w:val="000000"/>
                <w:sz w:val="21"/>
                <w:szCs w:val="21"/>
              </w:rPr>
            </w:pPr>
            <w:r>
              <w:rPr>
                <w:rFonts w:hint="eastAsia"/>
                <w:color w:val="000000"/>
                <w:sz w:val="21"/>
                <w:szCs w:val="21"/>
              </w:rPr>
              <w:t>远程问题处理</w:t>
            </w:r>
          </w:p>
        </w:tc>
        <w:tc>
          <w:tcPr>
            <w:tcW w:w="5459" w:type="dxa"/>
            <w:tcBorders>
              <w:top w:val="nil"/>
              <w:left w:val="nil"/>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7×24覆盖</w:t>
            </w:r>
          </w:p>
        </w:tc>
      </w:tr>
      <w:tr>
        <w:trPr>
          <w:trHeight w:val="440" w:hRule="atLeast"/>
          <w:jc w:val="center"/>
        </w:trPr>
        <w:tc>
          <w:tcPr>
            <w:tcW w:w="670" w:type="dxa"/>
            <w:tcBorders>
              <w:top w:val="single" w:color="auto" w:sz="4" w:space="0"/>
              <w:left w:val="single" w:color="auto" w:sz="4" w:space="0"/>
              <w:bottom w:val="nil"/>
              <w:right w:val="single" w:color="auto" w:sz="4" w:space="0"/>
            </w:tcBorders>
            <w:vAlign w:val="center"/>
          </w:tcPr>
          <w:p>
            <w:pPr>
              <w:jc w:val="center"/>
              <w:rPr>
                <w:color w:val="000000"/>
                <w:sz w:val="21"/>
                <w:szCs w:val="21"/>
              </w:rPr>
            </w:pPr>
            <w:r>
              <w:rPr>
                <w:rFonts w:hint="eastAsia"/>
                <w:color w:val="000000"/>
                <w:sz w:val="21"/>
                <w:szCs w:val="21"/>
              </w:rPr>
              <w:t>3</w:t>
            </w:r>
          </w:p>
        </w:tc>
        <w:tc>
          <w:tcPr>
            <w:tcW w:w="2393" w:type="dxa"/>
            <w:tcBorders>
              <w:top w:val="single" w:color="auto" w:sz="4" w:space="0"/>
              <w:left w:val="single" w:color="auto" w:sz="4" w:space="0"/>
              <w:bottom w:val="nil"/>
              <w:right w:val="single" w:color="auto" w:sz="4" w:space="0"/>
            </w:tcBorders>
            <w:vAlign w:val="center"/>
          </w:tcPr>
          <w:p>
            <w:pPr>
              <w:jc w:val="center"/>
              <w:rPr>
                <w:color w:val="000000"/>
                <w:sz w:val="21"/>
                <w:szCs w:val="21"/>
              </w:rPr>
            </w:pPr>
            <w:r>
              <w:rPr>
                <w:rFonts w:hint="eastAsia"/>
                <w:color w:val="000000"/>
                <w:sz w:val="21"/>
                <w:szCs w:val="21"/>
              </w:rPr>
              <w:t>在线技术支持</w:t>
            </w:r>
          </w:p>
        </w:tc>
        <w:tc>
          <w:tcPr>
            <w:tcW w:w="5459" w:type="dxa"/>
            <w:tcBorders>
              <w:top w:val="nil"/>
              <w:left w:val="nil"/>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技术信息共享和补丁下载</w:t>
            </w:r>
          </w:p>
        </w:tc>
      </w:tr>
      <w:tr>
        <w:trPr>
          <w:trHeight w:val="521"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4</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软件更新授权</w:t>
            </w:r>
          </w:p>
        </w:tc>
        <w:tc>
          <w:tcPr>
            <w:tcW w:w="5459" w:type="dxa"/>
            <w:tcBorders>
              <w:top w:val="nil"/>
              <w:left w:val="nil"/>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提供主机版本软件的维护版本(补丁和小版本)</w:t>
            </w:r>
          </w:p>
        </w:tc>
      </w:tr>
      <w:tr>
        <w:trPr>
          <w:trHeight w:val="459"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5</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备件先行</w:t>
            </w:r>
          </w:p>
        </w:tc>
        <w:tc>
          <w:tcPr>
            <w:tcW w:w="5459" w:type="dxa"/>
            <w:vMerge w:val="restart"/>
            <w:tcBorders>
              <w:top w:val="single" w:color="auto" w:sz="4" w:space="0"/>
              <w:left w:val="nil"/>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7×24×4</w:t>
            </w:r>
          </w:p>
        </w:tc>
      </w:tr>
      <w:tr>
        <w:trPr>
          <w:trHeight w:val="565"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6</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现场工程师硬件更换</w:t>
            </w:r>
          </w:p>
        </w:tc>
        <w:tc>
          <w:tcPr>
            <w:tcW w:w="5459" w:type="dxa"/>
            <w:vMerge w:val="continue"/>
            <w:tcBorders>
              <w:top w:val="single" w:color="auto" w:sz="4" w:space="0"/>
              <w:left w:val="nil"/>
              <w:bottom w:val="single" w:color="auto" w:sz="4" w:space="0"/>
              <w:right w:val="single" w:color="auto" w:sz="4" w:space="0"/>
            </w:tcBorders>
            <w:vAlign w:val="center"/>
          </w:tcPr>
          <w:p>
            <w:pPr>
              <w:jc w:val="center"/>
              <w:rPr>
                <w:color w:val="000000"/>
                <w:sz w:val="21"/>
                <w:szCs w:val="21"/>
              </w:rPr>
            </w:pPr>
          </w:p>
        </w:tc>
      </w:tr>
      <w:tr>
        <w:trPr>
          <w:trHeight w:val="521"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7</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现场问题处理</w:t>
            </w:r>
          </w:p>
        </w:tc>
        <w:tc>
          <w:tcPr>
            <w:tcW w:w="5459" w:type="dxa"/>
            <w:vMerge w:val="continue"/>
            <w:tcBorders>
              <w:top w:val="single" w:color="auto" w:sz="4" w:space="0"/>
              <w:left w:val="nil"/>
              <w:bottom w:val="single" w:color="auto" w:sz="4" w:space="0"/>
              <w:right w:val="single" w:color="auto" w:sz="4" w:space="0"/>
            </w:tcBorders>
            <w:vAlign w:val="center"/>
          </w:tcPr>
          <w:p>
            <w:pPr>
              <w:jc w:val="center"/>
              <w:rPr>
                <w:color w:val="000000"/>
                <w:sz w:val="21"/>
                <w:szCs w:val="21"/>
              </w:rPr>
            </w:pPr>
          </w:p>
        </w:tc>
      </w:tr>
      <w:tr>
        <w:trPr>
          <w:trHeight w:val="521"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8</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设备健康检查</w:t>
            </w:r>
          </w:p>
        </w:tc>
        <w:tc>
          <w:tcPr>
            <w:tcW w:w="5459" w:type="dxa"/>
            <w:tcBorders>
              <w:top w:val="single" w:color="auto" w:sz="4" w:space="0"/>
              <w:left w:val="nil"/>
              <w:bottom w:val="single" w:color="auto" w:sz="4" w:space="0"/>
              <w:right w:val="single" w:color="auto" w:sz="4" w:space="0"/>
            </w:tcBorders>
            <w:vAlign w:val="center"/>
          </w:tcPr>
          <w:p>
            <w:pPr>
              <w:jc w:val="center"/>
              <w:rPr>
                <w:color w:val="000000"/>
                <w:sz w:val="21"/>
                <w:szCs w:val="21"/>
              </w:rPr>
            </w:pPr>
            <w:r>
              <w:rPr>
                <w:rFonts w:hint="eastAsia"/>
                <w:color w:val="000000"/>
                <w:sz w:val="21"/>
                <w:szCs w:val="21"/>
              </w:rPr>
              <w:t>每年2次健康检查</w:t>
            </w:r>
          </w:p>
        </w:tc>
      </w:tr>
    </w:tbl>
    <w:p>
      <w:pPr>
        <w:rPr>
          <w:sz w:val="21"/>
          <w:szCs w:val="21"/>
        </w:rPr>
      </w:pPr>
    </w:p>
    <w:tbl>
      <w:tblPr>
        <w:tblStyle w:val="19"/>
        <w:tblpPr w:leftFromText="180" w:rightFromText="180" w:vertAnchor="text" w:horzAnchor="margin" w:tblpXSpec="center" w:tblpY="639"/>
        <w:tblOverlap w:val="never"/>
        <w:tblW w:w="9425" w:type="dxa"/>
        <w:tblInd w:w="0" w:type="dxa"/>
        <w:tblLayout w:type="fixed"/>
        <w:tblCellMar>
          <w:top w:w="0" w:type="dxa"/>
          <w:left w:w="108" w:type="dxa"/>
          <w:bottom w:w="0" w:type="dxa"/>
          <w:right w:w="108" w:type="dxa"/>
        </w:tblCellMar>
      </w:tblPr>
      <w:tblGrid>
        <w:gridCol w:w="2049"/>
        <w:gridCol w:w="4320"/>
        <w:gridCol w:w="3056"/>
      </w:tblGrid>
      <w:tr>
        <w:trPr>
          <w:trHeight w:val="170" w:hRule="atLeast"/>
        </w:trPr>
        <w:tc>
          <w:tcPr>
            <w:tcW w:w="2049" w:type="dxa"/>
            <w:tcBorders>
              <w:top w:val="single" w:color="auto" w:sz="12" w:space="0"/>
              <w:left w:val="single" w:color="auto" w:sz="12" w:space="0"/>
              <w:bottom w:val="single" w:color="auto" w:sz="4" w:space="0"/>
              <w:right w:val="single" w:color="auto" w:sz="4" w:space="0"/>
            </w:tcBorders>
            <w:vAlign w:val="center"/>
          </w:tcPr>
          <w:p>
            <w:pPr>
              <w:adjustRightInd w:val="0"/>
              <w:snapToGrid w:val="0"/>
              <w:jc w:val="center"/>
              <w:rPr>
                <w:rFonts w:cs="黑体"/>
                <w:color w:val="000000"/>
                <w:sz w:val="21"/>
                <w:szCs w:val="21"/>
              </w:rPr>
            </w:pPr>
            <w:r>
              <w:rPr>
                <w:rFonts w:hint="eastAsia"/>
                <w:color w:val="000000"/>
                <w:sz w:val="21"/>
                <w:szCs w:val="21"/>
              </w:rPr>
              <w:t>服务项目</w:t>
            </w:r>
          </w:p>
        </w:tc>
        <w:tc>
          <w:tcPr>
            <w:tcW w:w="7376" w:type="dxa"/>
            <w:gridSpan w:val="2"/>
            <w:tcBorders>
              <w:top w:val="single" w:color="auto" w:sz="12" w:space="0"/>
              <w:left w:val="single" w:color="auto" w:sz="4" w:space="0"/>
              <w:bottom w:val="single" w:color="auto" w:sz="4" w:space="0"/>
              <w:right w:val="single" w:color="auto" w:sz="12" w:space="0"/>
            </w:tcBorders>
            <w:vAlign w:val="center"/>
          </w:tcPr>
          <w:p>
            <w:pPr>
              <w:adjustRightInd w:val="0"/>
              <w:snapToGrid w:val="0"/>
              <w:jc w:val="center"/>
              <w:rPr>
                <w:rFonts w:cs="黑体"/>
                <w:color w:val="000000"/>
                <w:sz w:val="21"/>
                <w:szCs w:val="21"/>
              </w:rPr>
            </w:pPr>
            <w:r>
              <w:rPr>
                <w:rFonts w:hint="eastAsia"/>
                <w:color w:val="000000"/>
                <w:sz w:val="21"/>
                <w:szCs w:val="21"/>
              </w:rPr>
              <w:t>服务等级</w:t>
            </w:r>
          </w:p>
        </w:tc>
      </w:tr>
      <w:tr>
        <w:trPr>
          <w:trHeight w:val="170" w:hRule="atLeast"/>
        </w:trPr>
        <w:tc>
          <w:tcPr>
            <w:tcW w:w="2049" w:type="dxa"/>
            <w:tcBorders>
              <w:top w:val="single" w:color="auto" w:sz="4" w:space="0"/>
              <w:left w:val="single" w:color="auto" w:sz="12" w:space="0"/>
              <w:bottom w:val="single" w:color="auto" w:sz="4" w:space="0"/>
              <w:right w:val="single" w:color="auto" w:sz="4" w:space="0"/>
            </w:tcBorders>
            <w:vAlign w:val="center"/>
          </w:tcPr>
          <w:p>
            <w:pPr>
              <w:adjustRightInd w:val="0"/>
              <w:snapToGrid w:val="0"/>
              <w:rPr>
                <w:rFonts w:cs="黑体"/>
                <w:color w:val="000000"/>
                <w:sz w:val="21"/>
                <w:szCs w:val="21"/>
              </w:rPr>
            </w:pPr>
            <w:r>
              <w:rPr>
                <w:rFonts w:hint="eastAsia"/>
                <w:color w:val="000000"/>
                <w:sz w:val="21"/>
                <w:szCs w:val="21"/>
              </w:rPr>
              <w:t>电话咨询服务</w:t>
            </w:r>
          </w:p>
        </w:tc>
        <w:tc>
          <w:tcPr>
            <w:tcW w:w="7376" w:type="dxa"/>
            <w:gridSpan w:val="2"/>
            <w:tcBorders>
              <w:top w:val="single" w:color="auto" w:sz="4" w:space="0"/>
              <w:left w:val="single" w:color="auto" w:sz="4" w:space="0"/>
              <w:bottom w:val="single" w:color="auto" w:sz="4" w:space="0"/>
              <w:right w:val="single" w:color="auto" w:sz="12" w:space="0"/>
            </w:tcBorders>
            <w:vAlign w:val="center"/>
          </w:tcPr>
          <w:p>
            <w:pPr>
              <w:adjustRightInd w:val="0"/>
              <w:snapToGrid w:val="0"/>
              <w:rPr>
                <w:rFonts w:cs="黑体"/>
                <w:color w:val="000000"/>
                <w:sz w:val="21"/>
                <w:szCs w:val="21"/>
              </w:rPr>
            </w:pPr>
            <w:r>
              <w:rPr>
                <w:rFonts w:hint="eastAsia"/>
                <w:color w:val="000000"/>
                <w:sz w:val="21"/>
                <w:szCs w:val="21"/>
              </w:rPr>
              <w:t>1、受理时间：7x24</w:t>
            </w:r>
          </w:p>
          <w:p>
            <w:pPr>
              <w:adjustRightInd w:val="0"/>
              <w:snapToGrid w:val="0"/>
              <w:rPr>
                <w:rFonts w:cs="黑体"/>
                <w:color w:val="000000"/>
                <w:sz w:val="21"/>
                <w:szCs w:val="21"/>
              </w:rPr>
            </w:pPr>
            <w:r>
              <w:rPr>
                <w:rFonts w:hint="eastAsia"/>
                <w:color w:val="000000"/>
                <w:sz w:val="21"/>
                <w:szCs w:val="21"/>
              </w:rPr>
              <w:t>2、响应时间：≤15分钟</w:t>
            </w:r>
          </w:p>
        </w:tc>
      </w:tr>
      <w:tr>
        <w:trPr>
          <w:trHeight w:val="170" w:hRule="atLeast"/>
        </w:trPr>
        <w:tc>
          <w:tcPr>
            <w:tcW w:w="2049" w:type="dxa"/>
            <w:tcBorders>
              <w:top w:val="single" w:color="auto" w:sz="4" w:space="0"/>
              <w:left w:val="single" w:color="auto" w:sz="12" w:space="0"/>
              <w:bottom w:val="single" w:color="auto" w:sz="4" w:space="0"/>
              <w:right w:val="single" w:color="auto" w:sz="4" w:space="0"/>
            </w:tcBorders>
            <w:vAlign w:val="center"/>
          </w:tcPr>
          <w:p>
            <w:pPr>
              <w:adjustRightInd w:val="0"/>
              <w:snapToGrid w:val="0"/>
              <w:rPr>
                <w:rFonts w:cs="黑体"/>
                <w:color w:val="000000"/>
                <w:sz w:val="21"/>
                <w:szCs w:val="21"/>
              </w:rPr>
            </w:pPr>
            <w:r>
              <w:rPr>
                <w:rFonts w:hint="eastAsia"/>
                <w:color w:val="000000"/>
                <w:sz w:val="21"/>
                <w:szCs w:val="21"/>
              </w:rPr>
              <w:t>电话支持服务</w:t>
            </w:r>
          </w:p>
        </w:tc>
        <w:tc>
          <w:tcPr>
            <w:tcW w:w="432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color w:val="000000"/>
                <w:sz w:val="21"/>
                <w:szCs w:val="21"/>
              </w:rPr>
            </w:pPr>
            <w:r>
              <w:rPr>
                <w:rFonts w:hint="eastAsia"/>
                <w:color w:val="000000"/>
                <w:sz w:val="21"/>
                <w:szCs w:val="21"/>
              </w:rPr>
              <w:t>响应时间：≤ 15分钟；</w:t>
            </w:r>
          </w:p>
        </w:tc>
        <w:tc>
          <w:tcPr>
            <w:tcW w:w="3056" w:type="dxa"/>
            <w:vMerge w:val="restart"/>
            <w:tcBorders>
              <w:top w:val="single" w:color="auto" w:sz="4" w:space="0"/>
              <w:left w:val="single" w:color="auto" w:sz="4" w:space="0"/>
              <w:bottom w:val="single" w:color="auto" w:sz="4" w:space="0"/>
              <w:right w:val="single" w:color="auto" w:sz="12" w:space="0"/>
            </w:tcBorders>
            <w:vAlign w:val="center"/>
          </w:tcPr>
          <w:p>
            <w:pPr>
              <w:adjustRightInd w:val="0"/>
              <w:snapToGrid w:val="0"/>
              <w:rPr>
                <w:rFonts w:cs="黑体"/>
                <w:color w:val="000000"/>
                <w:sz w:val="21"/>
                <w:szCs w:val="21"/>
              </w:rPr>
            </w:pPr>
          </w:p>
        </w:tc>
      </w:tr>
      <w:tr>
        <w:trPr>
          <w:trHeight w:val="170" w:hRule="atLeast"/>
        </w:trPr>
        <w:tc>
          <w:tcPr>
            <w:tcW w:w="2049" w:type="dxa"/>
            <w:tcBorders>
              <w:top w:val="single" w:color="auto" w:sz="4" w:space="0"/>
              <w:left w:val="single" w:color="auto" w:sz="12" w:space="0"/>
              <w:bottom w:val="single" w:color="auto" w:sz="4" w:space="0"/>
              <w:right w:val="single" w:color="auto" w:sz="4" w:space="0"/>
            </w:tcBorders>
            <w:vAlign w:val="center"/>
          </w:tcPr>
          <w:p>
            <w:pPr>
              <w:adjustRightInd w:val="0"/>
              <w:snapToGrid w:val="0"/>
              <w:rPr>
                <w:rFonts w:cs="黑体"/>
                <w:color w:val="000000"/>
                <w:sz w:val="21"/>
                <w:szCs w:val="21"/>
              </w:rPr>
            </w:pPr>
            <w:r>
              <w:rPr>
                <w:rFonts w:hint="eastAsia"/>
                <w:color w:val="000000"/>
                <w:sz w:val="21"/>
                <w:szCs w:val="21"/>
              </w:rPr>
              <w:t>远程技术支持服务</w:t>
            </w:r>
          </w:p>
        </w:tc>
        <w:tc>
          <w:tcPr>
            <w:tcW w:w="432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color w:val="000000"/>
                <w:sz w:val="21"/>
                <w:szCs w:val="21"/>
              </w:rPr>
            </w:pPr>
            <w:r>
              <w:rPr>
                <w:rFonts w:hint="eastAsia"/>
                <w:color w:val="000000"/>
                <w:sz w:val="21"/>
                <w:szCs w:val="21"/>
              </w:rPr>
              <w:t>响应时间：≤ 15分钟；</w:t>
            </w:r>
          </w:p>
        </w:tc>
        <w:tc>
          <w:tcPr>
            <w:tcW w:w="3056" w:type="dxa"/>
            <w:vMerge w:val="continue"/>
            <w:tcBorders>
              <w:top w:val="single" w:color="auto" w:sz="4" w:space="0"/>
              <w:left w:val="single" w:color="auto" w:sz="4" w:space="0"/>
              <w:bottom w:val="single" w:color="auto" w:sz="4" w:space="0"/>
              <w:right w:val="single" w:color="auto" w:sz="12" w:space="0"/>
            </w:tcBorders>
            <w:vAlign w:val="center"/>
          </w:tcPr>
          <w:p>
            <w:pPr>
              <w:widowControl/>
              <w:adjustRightInd w:val="0"/>
              <w:snapToGrid w:val="0"/>
              <w:rPr>
                <w:rFonts w:cs="黑体"/>
                <w:color w:val="000000"/>
                <w:sz w:val="21"/>
                <w:szCs w:val="21"/>
              </w:rPr>
            </w:pPr>
          </w:p>
        </w:tc>
      </w:tr>
      <w:tr>
        <w:trPr>
          <w:trHeight w:val="170" w:hRule="atLeast"/>
        </w:trPr>
        <w:tc>
          <w:tcPr>
            <w:tcW w:w="2049" w:type="dxa"/>
            <w:tcBorders>
              <w:top w:val="single" w:color="auto" w:sz="4" w:space="0"/>
              <w:left w:val="single" w:color="auto" w:sz="12" w:space="0"/>
              <w:bottom w:val="single" w:color="auto" w:sz="4" w:space="0"/>
              <w:right w:val="single" w:color="auto" w:sz="4" w:space="0"/>
            </w:tcBorders>
            <w:vAlign w:val="center"/>
          </w:tcPr>
          <w:p>
            <w:pPr>
              <w:adjustRightInd w:val="0"/>
              <w:snapToGrid w:val="0"/>
              <w:rPr>
                <w:rFonts w:cs="黑体"/>
                <w:color w:val="000000"/>
                <w:sz w:val="21"/>
                <w:szCs w:val="21"/>
              </w:rPr>
            </w:pPr>
            <w:r>
              <w:rPr>
                <w:rFonts w:hint="eastAsia"/>
                <w:color w:val="000000"/>
                <w:sz w:val="21"/>
                <w:szCs w:val="21"/>
              </w:rPr>
              <w:t>现场技术支持服务</w:t>
            </w:r>
          </w:p>
        </w:tc>
        <w:tc>
          <w:tcPr>
            <w:tcW w:w="432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color w:val="000000"/>
                <w:sz w:val="21"/>
                <w:szCs w:val="21"/>
              </w:rPr>
            </w:pPr>
            <w:r>
              <w:rPr>
                <w:rFonts w:hint="eastAsia"/>
                <w:color w:val="000000"/>
                <w:sz w:val="21"/>
                <w:szCs w:val="21"/>
              </w:rPr>
              <w:t>1、到达现场时间：&lt; 2小</w:t>
            </w:r>
            <w:r>
              <w:rPr>
                <w:color w:val="000000"/>
                <w:sz w:val="21"/>
                <w:szCs w:val="21"/>
              </w:rPr>
              <w:t>时</w:t>
            </w:r>
          </w:p>
        </w:tc>
        <w:tc>
          <w:tcPr>
            <w:tcW w:w="3056" w:type="dxa"/>
            <w:vMerge w:val="continue"/>
            <w:tcBorders>
              <w:top w:val="single" w:color="auto" w:sz="4" w:space="0"/>
              <w:left w:val="single" w:color="auto" w:sz="4" w:space="0"/>
              <w:bottom w:val="single" w:color="auto" w:sz="4" w:space="0"/>
              <w:right w:val="single" w:color="auto" w:sz="12" w:space="0"/>
            </w:tcBorders>
            <w:vAlign w:val="center"/>
          </w:tcPr>
          <w:p>
            <w:pPr>
              <w:widowControl/>
              <w:adjustRightInd w:val="0"/>
              <w:snapToGrid w:val="0"/>
              <w:rPr>
                <w:rFonts w:cs="黑体"/>
                <w:color w:val="000000"/>
                <w:sz w:val="21"/>
                <w:szCs w:val="21"/>
              </w:rPr>
            </w:pPr>
          </w:p>
        </w:tc>
      </w:tr>
      <w:tr>
        <w:trPr>
          <w:trHeight w:val="170" w:hRule="atLeast"/>
        </w:trPr>
        <w:tc>
          <w:tcPr>
            <w:tcW w:w="2049" w:type="dxa"/>
            <w:tcBorders>
              <w:top w:val="single" w:color="auto" w:sz="4" w:space="0"/>
              <w:left w:val="single" w:color="auto" w:sz="12" w:space="0"/>
              <w:bottom w:val="single" w:color="auto" w:sz="4" w:space="0"/>
              <w:right w:val="single" w:color="auto" w:sz="4" w:space="0"/>
            </w:tcBorders>
            <w:vAlign w:val="center"/>
          </w:tcPr>
          <w:p>
            <w:pPr>
              <w:adjustRightInd w:val="0"/>
              <w:snapToGrid w:val="0"/>
              <w:rPr>
                <w:rFonts w:cs="黑体"/>
                <w:color w:val="000000"/>
                <w:sz w:val="21"/>
                <w:szCs w:val="21"/>
              </w:rPr>
            </w:pPr>
            <w:r>
              <w:rPr>
                <w:rFonts w:hint="eastAsia"/>
                <w:color w:val="000000"/>
                <w:sz w:val="21"/>
                <w:szCs w:val="21"/>
              </w:rPr>
              <w:t>紧急故障排除服务</w:t>
            </w:r>
          </w:p>
        </w:tc>
        <w:tc>
          <w:tcPr>
            <w:tcW w:w="432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color w:val="000000"/>
                <w:sz w:val="21"/>
                <w:szCs w:val="21"/>
              </w:rPr>
            </w:pPr>
            <w:r>
              <w:rPr>
                <w:rFonts w:hint="eastAsia"/>
                <w:color w:val="000000"/>
                <w:sz w:val="21"/>
                <w:szCs w:val="21"/>
              </w:rPr>
              <w:t>一级问题：</w:t>
            </w:r>
          </w:p>
          <w:p>
            <w:pPr>
              <w:adjustRightInd w:val="0"/>
              <w:snapToGrid w:val="0"/>
              <w:rPr>
                <w:color w:val="000000"/>
                <w:sz w:val="21"/>
                <w:szCs w:val="21"/>
              </w:rPr>
            </w:pPr>
            <w:r>
              <w:rPr>
                <w:rFonts w:hint="eastAsia"/>
                <w:color w:val="000000"/>
                <w:sz w:val="21"/>
                <w:szCs w:val="21"/>
              </w:rPr>
              <w:t>电话响应时间：&lt; 10分钟；</w:t>
            </w:r>
          </w:p>
          <w:p>
            <w:pPr>
              <w:adjustRightInd w:val="0"/>
              <w:snapToGrid w:val="0"/>
              <w:rPr>
                <w:rFonts w:cs="黑体"/>
                <w:color w:val="000000"/>
                <w:sz w:val="21"/>
                <w:szCs w:val="21"/>
              </w:rPr>
            </w:pPr>
            <w:r>
              <w:rPr>
                <w:rFonts w:hint="eastAsia"/>
                <w:color w:val="000000"/>
                <w:sz w:val="21"/>
                <w:szCs w:val="21"/>
              </w:rPr>
              <w:t>远程接入响应时间：&lt; 15分钟；到达现场时间：&lt; 2小时。</w:t>
            </w:r>
          </w:p>
        </w:tc>
        <w:tc>
          <w:tcPr>
            <w:tcW w:w="3056" w:type="dxa"/>
            <w:tcBorders>
              <w:top w:val="single" w:color="auto" w:sz="4" w:space="0"/>
              <w:left w:val="single" w:color="auto" w:sz="4" w:space="0"/>
              <w:bottom w:val="single" w:color="auto" w:sz="4" w:space="0"/>
              <w:right w:val="single" w:color="auto" w:sz="12" w:space="0"/>
            </w:tcBorders>
            <w:vAlign w:val="center"/>
          </w:tcPr>
          <w:p>
            <w:pPr>
              <w:adjustRightInd w:val="0"/>
              <w:snapToGrid w:val="0"/>
              <w:rPr>
                <w:rFonts w:cs="黑体"/>
                <w:color w:val="000000"/>
                <w:sz w:val="21"/>
                <w:szCs w:val="21"/>
              </w:rPr>
            </w:pPr>
            <w:r>
              <w:rPr>
                <w:rFonts w:hint="eastAsia"/>
                <w:color w:val="000000"/>
                <w:sz w:val="21"/>
                <w:szCs w:val="21"/>
              </w:rPr>
              <w:t>紧急故障恢复时间：</w:t>
            </w:r>
          </w:p>
          <w:p>
            <w:pPr>
              <w:adjustRightInd w:val="0"/>
              <w:snapToGrid w:val="0"/>
              <w:rPr>
                <w:rFonts w:cs="黑体"/>
                <w:color w:val="000000"/>
                <w:sz w:val="21"/>
                <w:szCs w:val="21"/>
              </w:rPr>
            </w:pPr>
            <w:r>
              <w:rPr>
                <w:rFonts w:hint="eastAsia"/>
                <w:color w:val="000000"/>
                <w:sz w:val="21"/>
                <w:szCs w:val="21"/>
              </w:rPr>
              <w:t>&lt; 4小时</w:t>
            </w:r>
          </w:p>
        </w:tc>
      </w:tr>
      <w:tr>
        <w:trPr>
          <w:trHeight w:val="170" w:hRule="atLeast"/>
        </w:trPr>
        <w:tc>
          <w:tcPr>
            <w:tcW w:w="2049" w:type="dxa"/>
            <w:tcBorders>
              <w:top w:val="single" w:color="auto" w:sz="4" w:space="0"/>
              <w:left w:val="single" w:color="auto" w:sz="12" w:space="0"/>
              <w:bottom w:val="single" w:color="auto" w:sz="4" w:space="0"/>
              <w:right w:val="single" w:color="auto" w:sz="4" w:space="0"/>
            </w:tcBorders>
            <w:vAlign w:val="center"/>
          </w:tcPr>
          <w:p>
            <w:pPr>
              <w:adjustRightInd w:val="0"/>
              <w:snapToGrid w:val="0"/>
              <w:rPr>
                <w:rFonts w:cs="黑体"/>
                <w:color w:val="000000"/>
                <w:sz w:val="21"/>
                <w:szCs w:val="21"/>
              </w:rPr>
            </w:pPr>
            <w:r>
              <w:rPr>
                <w:rFonts w:hint="eastAsia"/>
                <w:color w:val="000000"/>
                <w:sz w:val="21"/>
                <w:szCs w:val="21"/>
              </w:rPr>
              <w:t>设备巡检服务</w:t>
            </w:r>
          </w:p>
        </w:tc>
        <w:tc>
          <w:tcPr>
            <w:tcW w:w="7376" w:type="dxa"/>
            <w:gridSpan w:val="2"/>
            <w:tcBorders>
              <w:top w:val="single" w:color="auto" w:sz="4" w:space="0"/>
              <w:left w:val="single" w:color="auto" w:sz="4" w:space="0"/>
              <w:bottom w:val="single" w:color="auto" w:sz="4" w:space="0"/>
              <w:right w:val="single" w:color="auto" w:sz="12" w:space="0"/>
            </w:tcBorders>
            <w:vAlign w:val="center"/>
          </w:tcPr>
          <w:p>
            <w:pPr>
              <w:adjustRightInd w:val="0"/>
              <w:snapToGrid w:val="0"/>
              <w:rPr>
                <w:rFonts w:cs="黑体"/>
                <w:color w:val="000000"/>
                <w:sz w:val="21"/>
                <w:szCs w:val="21"/>
              </w:rPr>
            </w:pPr>
            <w:r>
              <w:rPr>
                <w:rFonts w:hint="eastAsia"/>
                <w:color w:val="000000"/>
                <w:sz w:val="21"/>
                <w:szCs w:val="21"/>
              </w:rPr>
              <w:t>4次/年</w:t>
            </w:r>
          </w:p>
        </w:tc>
      </w:tr>
      <w:tr>
        <w:trPr>
          <w:trHeight w:val="170" w:hRule="atLeast"/>
        </w:trPr>
        <w:tc>
          <w:tcPr>
            <w:tcW w:w="2049" w:type="dxa"/>
            <w:tcBorders>
              <w:top w:val="single" w:color="auto" w:sz="4" w:space="0"/>
              <w:left w:val="single" w:color="auto" w:sz="12" w:space="0"/>
              <w:bottom w:val="single" w:color="auto" w:sz="12" w:space="0"/>
              <w:right w:val="single" w:color="auto" w:sz="4" w:space="0"/>
            </w:tcBorders>
            <w:vAlign w:val="center"/>
          </w:tcPr>
          <w:p>
            <w:pPr>
              <w:adjustRightInd w:val="0"/>
              <w:snapToGrid w:val="0"/>
              <w:rPr>
                <w:rFonts w:cs="黑体"/>
                <w:color w:val="000000"/>
                <w:sz w:val="21"/>
                <w:szCs w:val="21"/>
              </w:rPr>
            </w:pPr>
            <w:r>
              <w:rPr>
                <w:rFonts w:hint="eastAsia"/>
                <w:color w:val="000000"/>
                <w:sz w:val="21"/>
                <w:szCs w:val="21"/>
              </w:rPr>
              <w:t>紧急备件支持服务</w:t>
            </w:r>
          </w:p>
        </w:tc>
        <w:tc>
          <w:tcPr>
            <w:tcW w:w="7376" w:type="dxa"/>
            <w:gridSpan w:val="2"/>
            <w:tcBorders>
              <w:top w:val="single" w:color="auto" w:sz="4" w:space="0"/>
              <w:left w:val="single" w:color="auto" w:sz="4" w:space="0"/>
              <w:bottom w:val="single" w:color="auto" w:sz="12" w:space="0"/>
              <w:right w:val="single" w:color="auto" w:sz="12" w:space="0"/>
            </w:tcBorders>
            <w:vAlign w:val="center"/>
          </w:tcPr>
          <w:p>
            <w:pPr>
              <w:adjustRightInd w:val="0"/>
              <w:snapToGrid w:val="0"/>
              <w:rPr>
                <w:rFonts w:cs="黑体"/>
                <w:color w:val="000000"/>
                <w:sz w:val="21"/>
                <w:szCs w:val="21"/>
              </w:rPr>
            </w:pPr>
            <w:r>
              <w:rPr>
                <w:rFonts w:hint="eastAsia"/>
                <w:color w:val="000000"/>
                <w:sz w:val="21"/>
                <w:szCs w:val="21"/>
              </w:rPr>
              <w:t>4小时内备件到</w:t>
            </w:r>
            <w:r>
              <w:rPr>
                <w:color w:val="000000"/>
                <w:sz w:val="21"/>
                <w:szCs w:val="21"/>
              </w:rPr>
              <w:t>达现场</w:t>
            </w:r>
            <w:r>
              <w:rPr>
                <w:rFonts w:hint="eastAsia"/>
                <w:color w:val="000000"/>
                <w:sz w:val="21"/>
                <w:szCs w:val="21"/>
              </w:rPr>
              <w:t> </w:t>
            </w:r>
          </w:p>
        </w:tc>
      </w:tr>
    </w:tbl>
    <w:p>
      <w:pPr>
        <w:rPr>
          <w:sz w:val="21"/>
          <w:szCs w:val="21"/>
        </w:rPr>
      </w:pPr>
    </w:p>
    <w:p>
      <w:pPr>
        <w:numPr>
          <w:ilvl w:val="0"/>
          <w:numId w:val="2"/>
        </w:numPr>
        <w:rPr>
          <w:sz w:val="21"/>
          <w:szCs w:val="21"/>
          <w:lang w:val="zh-CN"/>
        </w:rPr>
      </w:pPr>
      <w:r>
        <w:rPr>
          <w:rFonts w:hint="eastAsia"/>
          <w:sz w:val="21"/>
          <w:szCs w:val="21"/>
          <w:lang w:val="zh-CN"/>
        </w:rPr>
        <w:t>故障级别定义</w:t>
      </w:r>
    </w:p>
    <w:p>
      <w:pPr>
        <w:rPr>
          <w:sz w:val="21"/>
          <w:szCs w:val="21"/>
        </w:rPr>
      </w:pPr>
      <w:r>
        <w:rPr>
          <w:rFonts w:hint="eastAsia"/>
          <w:sz w:val="21"/>
          <w:szCs w:val="21"/>
        </w:rPr>
        <w:t>故障级别由出现问题对甲方最终用户的影响的大小来决定。所有申请的级别都将由甲方和乙方支持机构共同决定，并以最终用户业务为重。</w:t>
      </w:r>
    </w:p>
    <w:p>
      <w:pPr>
        <w:numPr>
          <w:ilvl w:val="0"/>
          <w:numId w:val="3"/>
        </w:numPr>
        <w:ind w:left="284" w:hanging="284"/>
        <w:rPr>
          <w:sz w:val="21"/>
          <w:szCs w:val="21"/>
          <w:lang w:val="zh-CN"/>
        </w:rPr>
      </w:pPr>
      <w:r>
        <w:rPr>
          <w:rFonts w:hint="eastAsia"/>
          <w:sz w:val="21"/>
          <w:szCs w:val="21"/>
          <w:lang w:val="zh-CN"/>
        </w:rPr>
        <w:t xml:space="preserve">一级故障 </w:t>
      </w:r>
    </w:p>
    <w:p>
      <w:pPr>
        <w:rPr>
          <w:sz w:val="21"/>
          <w:szCs w:val="21"/>
        </w:rPr>
      </w:pPr>
      <w:r>
        <w:rPr>
          <w:rFonts w:hint="eastAsia"/>
          <w:sz w:val="21"/>
          <w:szCs w:val="21"/>
        </w:rPr>
        <w:t>-在商业、经济、技术、安全等方面给最终用户造成重大损失的故障。</w:t>
      </w:r>
    </w:p>
    <w:p>
      <w:pPr>
        <w:rPr>
          <w:sz w:val="21"/>
          <w:szCs w:val="21"/>
        </w:rPr>
      </w:pPr>
      <w:r>
        <w:rPr>
          <w:rFonts w:hint="eastAsia"/>
          <w:sz w:val="21"/>
          <w:szCs w:val="21"/>
        </w:rPr>
        <w:t>-严重影响整个或局部系统运行，系统功能，或系统可靠性的故障。</w:t>
      </w:r>
    </w:p>
    <w:p>
      <w:pPr>
        <w:rPr>
          <w:sz w:val="21"/>
          <w:szCs w:val="21"/>
        </w:rPr>
      </w:pPr>
      <w:r>
        <w:rPr>
          <w:rFonts w:hint="eastAsia"/>
          <w:sz w:val="21"/>
          <w:szCs w:val="21"/>
        </w:rPr>
        <w:t>-严重影响最终用户服务质量的故障。</w:t>
      </w:r>
    </w:p>
    <w:p>
      <w:pPr>
        <w:rPr>
          <w:sz w:val="21"/>
          <w:szCs w:val="21"/>
        </w:rPr>
      </w:pPr>
      <w:r>
        <w:rPr>
          <w:rFonts w:hint="eastAsia"/>
          <w:sz w:val="21"/>
          <w:szCs w:val="21"/>
        </w:rPr>
        <w:t>例如</w:t>
      </w:r>
    </w:p>
    <w:p>
      <w:pPr>
        <w:rPr>
          <w:sz w:val="21"/>
          <w:szCs w:val="21"/>
        </w:rPr>
      </w:pPr>
      <w:r>
        <w:rPr>
          <w:rFonts w:hint="eastAsia"/>
          <w:sz w:val="21"/>
          <w:szCs w:val="21"/>
        </w:rPr>
        <w:t>－设备系统瘫痪，致使无法向用户提供业务服务。</w:t>
      </w:r>
    </w:p>
    <w:p>
      <w:pPr>
        <w:rPr>
          <w:sz w:val="21"/>
          <w:szCs w:val="21"/>
        </w:rPr>
      </w:pPr>
      <w:r>
        <w:rPr>
          <w:rFonts w:hint="eastAsia"/>
          <w:sz w:val="21"/>
          <w:szCs w:val="21"/>
        </w:rPr>
        <w:t>－分节点故障，致使部分用户无法使用业务服务，不能提供正常网络服务。</w:t>
      </w:r>
    </w:p>
    <w:p>
      <w:pPr>
        <w:rPr>
          <w:sz w:val="21"/>
          <w:szCs w:val="21"/>
        </w:rPr>
      </w:pPr>
      <w:r>
        <w:rPr>
          <w:rFonts w:hint="eastAsia"/>
          <w:sz w:val="21"/>
          <w:szCs w:val="21"/>
        </w:rPr>
        <w:t>－受到大面积的安全攻击，致使大量重要业务无法使用。</w:t>
      </w:r>
    </w:p>
    <w:p>
      <w:pPr>
        <w:numPr>
          <w:ilvl w:val="0"/>
          <w:numId w:val="3"/>
        </w:numPr>
        <w:ind w:left="426" w:hanging="284"/>
        <w:rPr>
          <w:sz w:val="21"/>
          <w:szCs w:val="21"/>
          <w:lang w:val="zh-CN"/>
        </w:rPr>
      </w:pPr>
      <w:r>
        <w:rPr>
          <w:rFonts w:hint="eastAsia"/>
          <w:sz w:val="21"/>
          <w:szCs w:val="21"/>
          <w:lang w:val="zh-CN"/>
        </w:rPr>
        <w:t xml:space="preserve">二级故障 </w:t>
      </w:r>
    </w:p>
    <w:p>
      <w:pPr>
        <w:rPr>
          <w:sz w:val="21"/>
          <w:szCs w:val="21"/>
        </w:rPr>
      </w:pPr>
      <w:r>
        <w:rPr>
          <w:rFonts w:hint="eastAsia"/>
          <w:sz w:val="21"/>
          <w:szCs w:val="21"/>
        </w:rPr>
        <w:t>－在商业、经济、技术、安全等方面给最终用户造成较严重损失的故障。</w:t>
      </w:r>
    </w:p>
    <w:p>
      <w:pPr>
        <w:rPr>
          <w:sz w:val="21"/>
          <w:szCs w:val="21"/>
        </w:rPr>
      </w:pPr>
      <w:r>
        <w:rPr>
          <w:rFonts w:hint="eastAsia"/>
          <w:sz w:val="21"/>
          <w:szCs w:val="21"/>
        </w:rPr>
        <w:t>－影响局部系统运行，系统功能，或系统可靠性的故障。</w:t>
      </w:r>
    </w:p>
    <w:p>
      <w:pPr>
        <w:rPr>
          <w:sz w:val="21"/>
          <w:szCs w:val="21"/>
        </w:rPr>
      </w:pPr>
      <w:r>
        <w:rPr>
          <w:rFonts w:hint="eastAsia"/>
          <w:sz w:val="21"/>
          <w:szCs w:val="21"/>
        </w:rPr>
        <w:t>－影响最终用户服务质量的故障。</w:t>
      </w:r>
    </w:p>
    <w:p>
      <w:pPr>
        <w:rPr>
          <w:sz w:val="21"/>
          <w:szCs w:val="21"/>
        </w:rPr>
      </w:pPr>
      <w:r>
        <w:rPr>
          <w:rFonts w:hint="eastAsia"/>
          <w:sz w:val="21"/>
          <w:szCs w:val="21"/>
        </w:rPr>
        <w:t>例如：</w:t>
      </w:r>
    </w:p>
    <w:p>
      <w:pPr>
        <w:rPr>
          <w:sz w:val="21"/>
          <w:szCs w:val="21"/>
        </w:rPr>
      </w:pPr>
      <w:r>
        <w:rPr>
          <w:rFonts w:hint="eastAsia"/>
          <w:sz w:val="21"/>
          <w:szCs w:val="21"/>
        </w:rPr>
        <w:t>－单台设备故障，致使失去冗余备份，系统整体的的可靠性降低。</w:t>
      </w:r>
    </w:p>
    <w:p>
      <w:pPr>
        <w:rPr>
          <w:sz w:val="21"/>
          <w:szCs w:val="21"/>
        </w:rPr>
      </w:pPr>
      <w:r>
        <w:rPr>
          <w:rFonts w:hint="eastAsia"/>
          <w:sz w:val="21"/>
          <w:szCs w:val="21"/>
        </w:rPr>
        <w:t>－设备性能超负荷，致使最终用户感受到业务性能下降。</w:t>
      </w:r>
    </w:p>
    <w:p>
      <w:pPr>
        <w:numPr>
          <w:ilvl w:val="0"/>
          <w:numId w:val="3"/>
        </w:numPr>
        <w:ind w:left="426" w:hanging="284"/>
        <w:rPr>
          <w:sz w:val="21"/>
          <w:szCs w:val="21"/>
          <w:lang w:val="zh-CN"/>
        </w:rPr>
      </w:pPr>
      <w:r>
        <w:rPr>
          <w:rFonts w:hint="eastAsia"/>
          <w:sz w:val="21"/>
          <w:szCs w:val="21"/>
          <w:lang w:val="zh-CN"/>
        </w:rPr>
        <w:t>三级故障</w:t>
      </w:r>
    </w:p>
    <w:p>
      <w:pPr>
        <w:rPr>
          <w:sz w:val="21"/>
          <w:szCs w:val="21"/>
        </w:rPr>
      </w:pPr>
      <w:r>
        <w:rPr>
          <w:rFonts w:hint="eastAsia"/>
          <w:sz w:val="21"/>
          <w:szCs w:val="21"/>
        </w:rPr>
        <w:t>－对最终用户造成较轻微影响的故障。</w:t>
      </w:r>
    </w:p>
    <w:p>
      <w:pPr>
        <w:rPr>
          <w:sz w:val="21"/>
          <w:szCs w:val="21"/>
        </w:rPr>
      </w:pPr>
      <w:r>
        <w:rPr>
          <w:rFonts w:hint="eastAsia"/>
          <w:sz w:val="21"/>
          <w:szCs w:val="21"/>
        </w:rPr>
        <w:t>－对产品功能造成轻微影响的故障。</w:t>
      </w:r>
    </w:p>
    <w:p>
      <w:pPr>
        <w:rPr>
          <w:sz w:val="21"/>
          <w:szCs w:val="21"/>
        </w:rPr>
      </w:pPr>
      <w:r>
        <w:rPr>
          <w:rFonts w:hint="eastAsia"/>
          <w:sz w:val="21"/>
          <w:szCs w:val="21"/>
        </w:rPr>
        <w:t>－在商业、经济方面给最终用户造成轻微损失的故障。</w:t>
      </w:r>
    </w:p>
    <w:p>
      <w:pPr>
        <w:rPr>
          <w:sz w:val="21"/>
          <w:szCs w:val="21"/>
        </w:rPr>
      </w:pPr>
      <w:r>
        <w:rPr>
          <w:rFonts w:hint="eastAsia"/>
          <w:sz w:val="21"/>
          <w:szCs w:val="21"/>
        </w:rPr>
        <w:t>－除紧急故障和严重故障外的其他问题。</w:t>
      </w:r>
    </w:p>
    <w:p>
      <w:pPr>
        <w:rPr>
          <w:sz w:val="21"/>
          <w:szCs w:val="21"/>
        </w:rPr>
      </w:pPr>
      <w:r>
        <w:rPr>
          <w:rFonts w:hint="eastAsia"/>
          <w:sz w:val="21"/>
          <w:szCs w:val="21"/>
        </w:rPr>
        <w:t>例如</w:t>
      </w:r>
    </w:p>
    <w:p>
      <w:pPr>
        <w:rPr>
          <w:sz w:val="21"/>
          <w:szCs w:val="21"/>
        </w:rPr>
      </w:pPr>
      <w:r>
        <w:rPr>
          <w:rFonts w:hint="eastAsia"/>
          <w:sz w:val="21"/>
          <w:szCs w:val="21"/>
        </w:rPr>
        <w:t>－一般节点故障，导致为部分用户提供的服务质量较差。</w:t>
      </w:r>
    </w:p>
    <w:p>
      <w:pPr>
        <w:rPr>
          <w:sz w:val="21"/>
          <w:szCs w:val="21"/>
        </w:rPr>
      </w:pPr>
      <w:r>
        <w:rPr>
          <w:rFonts w:hint="eastAsia"/>
          <w:sz w:val="21"/>
          <w:szCs w:val="21"/>
        </w:rPr>
        <w:t>－有备份的设备的冗余部件出现可恢复的短时故障。</w:t>
      </w:r>
    </w:p>
    <w:p>
      <w:pPr>
        <w:rPr>
          <w:sz w:val="21"/>
          <w:szCs w:val="21"/>
        </w:rPr>
      </w:pPr>
      <w:r>
        <w:rPr>
          <w:rFonts w:hint="eastAsia"/>
          <w:sz w:val="21"/>
          <w:szCs w:val="21"/>
        </w:rPr>
        <w:t>－显示错误。</w:t>
      </w:r>
    </w:p>
    <w:p>
      <w:pPr>
        <w:rPr>
          <w:sz w:val="21"/>
          <w:szCs w:val="21"/>
        </w:rPr>
      </w:pPr>
      <w:r>
        <w:rPr>
          <w:rFonts w:hint="eastAsia"/>
          <w:sz w:val="21"/>
          <w:szCs w:val="21"/>
        </w:rPr>
        <w:t>－文件出错。</w:t>
      </w:r>
    </w:p>
    <w:p>
      <w:pPr>
        <w:numPr>
          <w:ilvl w:val="0"/>
          <w:numId w:val="2"/>
        </w:numPr>
        <w:rPr>
          <w:sz w:val="21"/>
          <w:szCs w:val="21"/>
          <w:lang w:val="zh-CN"/>
        </w:rPr>
      </w:pPr>
      <w:r>
        <w:rPr>
          <w:rFonts w:hint="eastAsia"/>
          <w:sz w:val="21"/>
          <w:szCs w:val="21"/>
          <w:lang w:val="zh-CN"/>
        </w:rPr>
        <w:t>故障处理服务规范</w:t>
      </w:r>
    </w:p>
    <w:p>
      <w:pPr>
        <w:rPr>
          <w:sz w:val="21"/>
          <w:szCs w:val="21"/>
        </w:rPr>
      </w:pPr>
      <w:r>
        <w:rPr>
          <w:rFonts w:hint="eastAsia"/>
          <w:sz w:val="21"/>
          <w:szCs w:val="21"/>
        </w:rPr>
        <w:t>甲方维护人员发现故障后，向乙方申告故障，乙方在收到甲方申告后为甲方进行故障处理服务，并根据甲方申告的故障级别提供相应的服务。</w:t>
      </w:r>
    </w:p>
    <w:p>
      <w:pPr>
        <w:numPr>
          <w:ilvl w:val="0"/>
          <w:numId w:val="4"/>
        </w:numPr>
        <w:ind w:left="426" w:hanging="284"/>
        <w:rPr>
          <w:sz w:val="21"/>
          <w:szCs w:val="21"/>
          <w:lang w:val="zh-CN"/>
        </w:rPr>
      </w:pPr>
      <w:r>
        <w:rPr>
          <w:rFonts w:hint="eastAsia"/>
          <w:sz w:val="21"/>
          <w:szCs w:val="21"/>
          <w:lang w:val="zh-CN"/>
        </w:rPr>
        <w:t>一级故障</w:t>
      </w:r>
    </w:p>
    <w:p>
      <w:pPr>
        <w:rPr>
          <w:sz w:val="21"/>
          <w:szCs w:val="21"/>
        </w:rPr>
      </w:pPr>
      <w:r>
        <w:rPr>
          <w:rFonts w:hint="eastAsia"/>
          <w:sz w:val="21"/>
          <w:szCs w:val="21"/>
        </w:rPr>
        <w:t>乙方在收到甲方故障申告后，应立即联系相关工程师，乙方或原厂工程师在5分钟内给予甲方电话响应，15分钟内远程登陆网络。</w:t>
      </w:r>
    </w:p>
    <w:p>
      <w:pPr>
        <w:rPr>
          <w:sz w:val="21"/>
          <w:szCs w:val="21"/>
        </w:rPr>
      </w:pPr>
      <w:r>
        <w:rPr>
          <w:rFonts w:hint="eastAsia"/>
          <w:sz w:val="21"/>
          <w:szCs w:val="21"/>
        </w:rPr>
        <w:t>如果需要到现场，乙方需在保证远程处理的同时</w:t>
      </w:r>
      <w:r>
        <w:rPr>
          <w:sz w:val="21"/>
          <w:szCs w:val="21"/>
        </w:rPr>
        <w:t>增派驻点原厂工程师</w:t>
      </w:r>
      <w:r>
        <w:rPr>
          <w:rFonts w:hint="eastAsia"/>
          <w:sz w:val="21"/>
          <w:szCs w:val="21"/>
        </w:rPr>
        <w:t>到达现场，广州120分钟内到达现场，深圳、佛山等节点3小时内到达现场。</w:t>
      </w:r>
    </w:p>
    <w:p>
      <w:pPr>
        <w:rPr>
          <w:sz w:val="21"/>
          <w:szCs w:val="21"/>
        </w:rPr>
      </w:pPr>
      <w:r>
        <w:rPr>
          <w:sz w:val="21"/>
          <w:szCs w:val="21"/>
        </w:rPr>
        <w:t>乙方工程师及原厂工程师</w:t>
      </w:r>
      <w:r>
        <w:rPr>
          <w:rFonts w:hint="eastAsia"/>
          <w:sz w:val="21"/>
          <w:szCs w:val="21"/>
        </w:rPr>
        <w:t>需制定可行的临时应急方案，并在甲方许可后实施，在30分钟内恢复业务基本运行，使网络恢复到不影响甲方重要业务的运行或最终用户仅感受业务质量有轻微下降。</w:t>
      </w:r>
    </w:p>
    <w:p>
      <w:pPr>
        <w:rPr>
          <w:sz w:val="21"/>
          <w:szCs w:val="21"/>
        </w:rPr>
      </w:pPr>
      <w:r>
        <w:rPr>
          <w:sz w:val="21"/>
          <w:szCs w:val="21"/>
        </w:rPr>
        <w:t>乙方工程师及原厂工程师</w:t>
      </w:r>
      <w:r>
        <w:rPr>
          <w:rFonts w:hint="eastAsia"/>
          <w:sz w:val="21"/>
          <w:szCs w:val="21"/>
        </w:rPr>
        <w:t>在</w:t>
      </w:r>
      <w:r>
        <w:rPr>
          <w:sz w:val="21"/>
          <w:szCs w:val="21"/>
        </w:rPr>
        <w:t>12</w:t>
      </w:r>
      <w:r>
        <w:rPr>
          <w:rFonts w:hint="eastAsia"/>
          <w:sz w:val="21"/>
          <w:szCs w:val="21"/>
        </w:rPr>
        <w:t>小时内解决全部故障，其中包括硬件提供和更换的时间。</w:t>
      </w:r>
    </w:p>
    <w:p>
      <w:pPr>
        <w:rPr>
          <w:sz w:val="21"/>
          <w:szCs w:val="21"/>
        </w:rPr>
      </w:pPr>
      <w:r>
        <w:rPr>
          <w:sz w:val="21"/>
          <w:szCs w:val="21"/>
        </w:rPr>
        <w:t>乙方工程师及原厂工程师</w:t>
      </w:r>
      <w:r>
        <w:rPr>
          <w:rFonts w:hint="eastAsia"/>
          <w:sz w:val="21"/>
          <w:szCs w:val="21"/>
        </w:rPr>
        <w:t>在故障最终解决后1个工作日内提供故障报告。</w:t>
      </w:r>
    </w:p>
    <w:p>
      <w:pPr>
        <w:numPr>
          <w:ilvl w:val="0"/>
          <w:numId w:val="4"/>
        </w:numPr>
        <w:ind w:left="567" w:hanging="283"/>
        <w:rPr>
          <w:sz w:val="21"/>
          <w:szCs w:val="21"/>
          <w:lang w:val="zh-CN"/>
        </w:rPr>
      </w:pPr>
      <w:r>
        <w:rPr>
          <w:rFonts w:hint="eastAsia"/>
          <w:sz w:val="21"/>
          <w:szCs w:val="21"/>
          <w:lang w:val="zh-CN"/>
        </w:rPr>
        <w:t>二级故障</w:t>
      </w:r>
    </w:p>
    <w:p>
      <w:pPr>
        <w:rPr>
          <w:sz w:val="21"/>
          <w:szCs w:val="21"/>
        </w:rPr>
      </w:pPr>
      <w:r>
        <w:rPr>
          <w:rFonts w:hint="eastAsia"/>
          <w:sz w:val="21"/>
          <w:szCs w:val="21"/>
        </w:rPr>
        <w:t>乙方在收到甲方故障申告后，应立即联系相关工程师，乙方工程师及原厂工程师在10分钟内给予甲方电话响应，20分钟内远程登陆网络。</w:t>
      </w:r>
    </w:p>
    <w:p>
      <w:pPr>
        <w:rPr>
          <w:sz w:val="21"/>
          <w:szCs w:val="21"/>
        </w:rPr>
      </w:pPr>
      <w:r>
        <w:rPr>
          <w:rFonts w:hint="eastAsia"/>
          <w:sz w:val="21"/>
          <w:szCs w:val="21"/>
        </w:rPr>
        <w:t>如果需要到现场，乙方需在保证远程处理的同时增派驻点工程师到达现场，广州节点2小时内到达现场，深圳、佛山等节点4小时内到达现场。</w:t>
      </w:r>
    </w:p>
    <w:p>
      <w:pPr>
        <w:rPr>
          <w:sz w:val="21"/>
          <w:szCs w:val="21"/>
        </w:rPr>
      </w:pPr>
      <w:r>
        <w:rPr>
          <w:rFonts w:hint="eastAsia"/>
          <w:sz w:val="21"/>
          <w:szCs w:val="21"/>
        </w:rPr>
        <w:t>乙方工程师及原厂工程师需制定可行的临时应急方案，并在甲方许可后实施，在30分钟内恢复业务基本运行，使设备或系统恢复到不影响甲方重要业务的运行或最终用户仅感受业务质量有轻微下降。</w:t>
      </w:r>
    </w:p>
    <w:p>
      <w:pPr>
        <w:rPr>
          <w:sz w:val="21"/>
          <w:szCs w:val="21"/>
        </w:rPr>
      </w:pPr>
      <w:r>
        <w:rPr>
          <w:rFonts w:hint="eastAsia"/>
          <w:sz w:val="21"/>
          <w:szCs w:val="21"/>
        </w:rPr>
        <w:t>乙方工程师及原厂工程师在48小时内解决全部故障，其中包括硬件更换的时间。</w:t>
      </w:r>
    </w:p>
    <w:p>
      <w:pPr>
        <w:rPr>
          <w:sz w:val="21"/>
          <w:szCs w:val="21"/>
        </w:rPr>
      </w:pPr>
      <w:r>
        <w:rPr>
          <w:rFonts w:hint="eastAsia"/>
          <w:sz w:val="21"/>
          <w:szCs w:val="21"/>
        </w:rPr>
        <w:t>乙方工程师及原厂工程师在故障最终解决后1个工作日内提供故障报告。</w:t>
      </w:r>
    </w:p>
    <w:p>
      <w:pPr>
        <w:numPr>
          <w:ilvl w:val="0"/>
          <w:numId w:val="4"/>
        </w:numPr>
        <w:ind w:left="567" w:hanging="283"/>
        <w:rPr>
          <w:sz w:val="21"/>
          <w:szCs w:val="21"/>
          <w:lang w:val="zh-CN"/>
        </w:rPr>
      </w:pPr>
      <w:r>
        <w:rPr>
          <w:rFonts w:hint="eastAsia"/>
          <w:sz w:val="21"/>
          <w:szCs w:val="21"/>
          <w:lang w:val="zh-CN"/>
        </w:rPr>
        <w:t>三级故障</w:t>
      </w:r>
    </w:p>
    <w:p>
      <w:pPr>
        <w:rPr>
          <w:sz w:val="21"/>
          <w:szCs w:val="21"/>
        </w:rPr>
      </w:pPr>
      <w:r>
        <w:rPr>
          <w:rFonts w:hint="eastAsia"/>
          <w:sz w:val="21"/>
          <w:szCs w:val="21"/>
        </w:rPr>
        <w:t>乙方在收到甲方故障申告后，应立即联系相关工程师，乙方工程师及原厂工程师在30分钟内给予甲方电话响应，2小时内远程登陆网络。</w:t>
      </w:r>
    </w:p>
    <w:p>
      <w:pPr>
        <w:rPr>
          <w:sz w:val="21"/>
          <w:szCs w:val="21"/>
        </w:rPr>
      </w:pPr>
      <w:r>
        <w:rPr>
          <w:rFonts w:hint="eastAsia"/>
          <w:sz w:val="21"/>
          <w:szCs w:val="21"/>
        </w:rPr>
        <w:t>如果需要到现场，乙方派工程师在1个工作日内到达现场。</w:t>
      </w:r>
    </w:p>
    <w:p>
      <w:pPr>
        <w:rPr>
          <w:sz w:val="21"/>
          <w:szCs w:val="21"/>
        </w:rPr>
      </w:pPr>
      <w:r>
        <w:rPr>
          <w:rFonts w:hint="eastAsia"/>
          <w:sz w:val="21"/>
          <w:szCs w:val="21"/>
        </w:rPr>
        <w:t>乙方工程师及原厂工程师需制定可行的临时应急方案，并在甲方许可后实施，在1个工作日内恢复业务基本运行，使网络恢复到不影响甲方重要业务的运行或最终用户仅感受业务质量有轻微下降。</w:t>
      </w:r>
    </w:p>
    <w:p>
      <w:pPr>
        <w:rPr>
          <w:sz w:val="21"/>
          <w:szCs w:val="21"/>
        </w:rPr>
      </w:pPr>
      <w:r>
        <w:rPr>
          <w:rFonts w:hint="eastAsia"/>
          <w:sz w:val="21"/>
          <w:szCs w:val="21"/>
        </w:rPr>
        <w:t>乙方工程师及原厂工程师在</w:t>
      </w:r>
      <w:r>
        <w:rPr>
          <w:sz w:val="21"/>
          <w:szCs w:val="21"/>
        </w:rPr>
        <w:t>3</w:t>
      </w:r>
      <w:r>
        <w:rPr>
          <w:rFonts w:hint="eastAsia"/>
          <w:sz w:val="21"/>
          <w:szCs w:val="21"/>
        </w:rPr>
        <w:t>个工作日内解决全部故障，其中包括硬件提供和更换的时间。</w:t>
      </w:r>
    </w:p>
    <w:p>
      <w:pPr>
        <w:rPr>
          <w:sz w:val="21"/>
          <w:szCs w:val="21"/>
        </w:rPr>
      </w:pPr>
      <w:r>
        <w:rPr>
          <w:rFonts w:hint="eastAsia"/>
          <w:sz w:val="21"/>
          <w:szCs w:val="21"/>
        </w:rPr>
        <w:t>乙方工程师及原厂工程师在故障最终解决后2个工作日内提供故障报告。</w:t>
      </w:r>
    </w:p>
    <w:p>
      <w:pPr>
        <w:ind w:firstLine="420" w:firstLineChars="200"/>
        <w:rPr>
          <w:sz w:val="21"/>
          <w:szCs w:val="21"/>
        </w:rPr>
      </w:pPr>
      <w:r>
        <w:rPr>
          <w:rFonts w:hint="eastAsia"/>
          <w:sz w:val="21"/>
          <w:szCs w:val="21"/>
        </w:rPr>
        <w:t>要求通过先进、标准、可控的技术、工具和方法，安装系统，评估系统趋势，定位系统运行瓶颈，实现系统稳定运行、各项性能指标正常高效、故障响应和处理及时、提升系统运行质量。</w:t>
      </w:r>
    </w:p>
    <w:p>
      <w:pPr>
        <w:spacing w:line="360" w:lineRule="auto"/>
        <w:rPr>
          <w:spacing w:val="-10"/>
          <w:sz w:val="21"/>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00000000" w:usb1="00000000" w:usb2="00000000" w:usb3="00000000" w:csb0="00160000"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0" w:usb1="00000000" w:usb2="00000000" w:usb3="00000000" w:csb0="00060000" w:csb1="00000000"/>
  </w:font>
  <w:font w:name="汉仪中黑KW">
    <w:panose1 w:val="00020600040101010101"/>
    <w:charset w:val="86"/>
    <w:family w:val="auto"/>
    <w:pitch w:val="default"/>
    <w:sig w:usb0="00000000" w:usb1="00000000" w:usb2="00000000" w:usb3="00000000" w:csb0="00160000" w:csb1="00000000"/>
  </w:font>
  <w:font w:name="冬青黑体简体中文">
    <w:panose1 w:val="020B0300000000000000"/>
    <w:charset w:val="86"/>
    <w:family w:val="auto"/>
    <w:pitch w:val="default"/>
    <w:sig w:usb0="00000000" w:usb1="00000000" w:usb2="00000000" w:usb3="00000000" w:csb0="00160000" w:csb1="00000000"/>
  </w:font>
  <w:font w:name="宋体-简">
    <w:panose1 w:val="0201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9795783"/>
      <w:docPartObj>
        <w:docPartGallery w:val="AutoText"/>
      </w:docPartObj>
    </w:sdtPr>
    <w:sdtContent>
      <w:p>
        <w:pPr>
          <w:pStyle w:val="13"/>
          <w:ind w:left="880"/>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F50B4"/>
    <w:multiLevelType w:val="singleLevel"/>
    <w:tmpl w:val="EFEF50B4"/>
    <w:lvl w:ilvl="0" w:tentative="0">
      <w:start w:val="1"/>
      <w:numFmt w:val="decimal"/>
      <w:suff w:val="nothing"/>
      <w:lvlText w:val="（%1）"/>
      <w:lvlJc w:val="left"/>
    </w:lvl>
  </w:abstractNum>
  <w:abstractNum w:abstractNumId="1">
    <w:nsid w:val="1F79243E"/>
    <w:multiLevelType w:val="multilevel"/>
    <w:tmpl w:val="1F79243E"/>
    <w:lvl w:ilvl="0" w:tentative="0">
      <w:start w:val="1"/>
      <w:numFmt w:val="lowerLetter"/>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2">
    <w:nsid w:val="23651401"/>
    <w:multiLevelType w:val="multilevel"/>
    <w:tmpl w:val="2365140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80D2D6F"/>
    <w:multiLevelType w:val="multilevel"/>
    <w:tmpl w:val="580D2D6F"/>
    <w:lvl w:ilvl="0" w:tentative="0">
      <w:start w:val="1"/>
      <w:numFmt w:val="lowerLetter"/>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BC7"/>
    <w:rsid w:val="0012361C"/>
    <w:rsid w:val="001779A6"/>
    <w:rsid w:val="001C29CF"/>
    <w:rsid w:val="001E241A"/>
    <w:rsid w:val="001E4923"/>
    <w:rsid w:val="00307F97"/>
    <w:rsid w:val="004D26CF"/>
    <w:rsid w:val="00665277"/>
    <w:rsid w:val="006D246E"/>
    <w:rsid w:val="0072377A"/>
    <w:rsid w:val="00765367"/>
    <w:rsid w:val="007741C6"/>
    <w:rsid w:val="00787737"/>
    <w:rsid w:val="00796BAB"/>
    <w:rsid w:val="007A2BC7"/>
    <w:rsid w:val="00834EDD"/>
    <w:rsid w:val="0092666C"/>
    <w:rsid w:val="00981A6F"/>
    <w:rsid w:val="0099169D"/>
    <w:rsid w:val="009A755B"/>
    <w:rsid w:val="00A051A9"/>
    <w:rsid w:val="00A62230"/>
    <w:rsid w:val="00AB3937"/>
    <w:rsid w:val="00AB4F7D"/>
    <w:rsid w:val="00AE2936"/>
    <w:rsid w:val="00B056BA"/>
    <w:rsid w:val="00B432EE"/>
    <w:rsid w:val="00BA2565"/>
    <w:rsid w:val="00BA64D3"/>
    <w:rsid w:val="00C83D0C"/>
    <w:rsid w:val="00CA66FA"/>
    <w:rsid w:val="00D54BDE"/>
    <w:rsid w:val="00DF45F0"/>
    <w:rsid w:val="00EC1D6C"/>
    <w:rsid w:val="00F173D2"/>
    <w:rsid w:val="00F30B4E"/>
    <w:rsid w:val="00F57F18"/>
    <w:rsid w:val="00F76248"/>
    <w:rsid w:val="00F93777"/>
    <w:rsid w:val="7FD9F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qFormat="1"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kern w:val="0"/>
      <w:sz w:val="22"/>
      <w:szCs w:val="22"/>
      <w:lang w:val="en-US" w:eastAsia="zh-CN" w:bidi="ar-SA"/>
    </w:rPr>
  </w:style>
  <w:style w:type="paragraph" w:styleId="2">
    <w:name w:val="heading 1"/>
    <w:basedOn w:val="1"/>
    <w:next w:val="1"/>
    <w:link w:val="29"/>
    <w:qFormat/>
    <w:uiPriority w:val="9"/>
    <w:pPr>
      <w:adjustRightInd w:val="0"/>
      <w:ind w:left="2016"/>
      <w:outlineLvl w:val="0"/>
    </w:pPr>
    <w:rPr>
      <w:rFonts w:hAnsi="Times New Roman"/>
      <w:sz w:val="38"/>
      <w:szCs w:val="38"/>
    </w:rPr>
  </w:style>
  <w:style w:type="paragraph" w:styleId="3">
    <w:name w:val="heading 2"/>
    <w:basedOn w:val="1"/>
    <w:next w:val="1"/>
    <w:link w:val="25"/>
    <w:qFormat/>
    <w:uiPriority w:val="9"/>
    <w:pPr>
      <w:spacing w:before="48"/>
      <w:ind w:left="3125" w:right="3192"/>
      <w:jc w:val="center"/>
      <w:outlineLvl w:val="1"/>
    </w:pPr>
    <w:rPr>
      <w:b/>
      <w:bCs/>
      <w:sz w:val="21"/>
      <w:szCs w:val="21"/>
    </w:rPr>
  </w:style>
  <w:style w:type="paragraph" w:styleId="4">
    <w:name w:val="heading 3"/>
    <w:basedOn w:val="1"/>
    <w:next w:val="1"/>
    <w:link w:val="30"/>
    <w:qFormat/>
    <w:uiPriority w:val="9"/>
    <w:pPr>
      <w:adjustRightInd w:val="0"/>
      <w:spacing w:before="13"/>
      <w:ind w:left="100"/>
      <w:outlineLvl w:val="2"/>
    </w:pPr>
    <w:rPr>
      <w:rFonts w:hAnsi="Times New Roman"/>
      <w:sz w:val="21"/>
      <w:szCs w:val="21"/>
    </w:rPr>
  </w:style>
  <w:style w:type="paragraph" w:styleId="5">
    <w:name w:val="heading 4"/>
    <w:basedOn w:val="1"/>
    <w:next w:val="1"/>
    <w:link w:val="31"/>
    <w:qFormat/>
    <w:uiPriority w:val="9"/>
    <w:pPr>
      <w:adjustRightInd w:val="0"/>
      <w:spacing w:before="28"/>
      <w:ind w:left="100"/>
      <w:outlineLvl w:val="3"/>
    </w:pPr>
    <w:rPr>
      <w:rFonts w:hAnsi="Times New Roman"/>
      <w:sz w:val="20"/>
      <w:szCs w:val="20"/>
    </w:rPr>
  </w:style>
  <w:style w:type="paragraph" w:styleId="6">
    <w:name w:val="heading 5"/>
    <w:basedOn w:val="1"/>
    <w:next w:val="1"/>
    <w:link w:val="32"/>
    <w:unhideWhenUsed/>
    <w:qFormat/>
    <w:uiPriority w:val="9"/>
    <w:pPr>
      <w:keepNext/>
      <w:keepLines/>
      <w:adjustRightInd w:val="0"/>
      <w:spacing w:before="280" w:after="290" w:line="376" w:lineRule="auto"/>
      <w:outlineLvl w:val="4"/>
    </w:pPr>
    <w:rPr>
      <w:rFonts w:ascii="Times New Roman" w:hAnsi="Times New Roman" w:eastAsia="等线" w:cs="Times New Roman"/>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99"/>
    <w:pPr>
      <w:autoSpaceDE/>
      <w:autoSpaceDN/>
      <w:ind w:firstLine="420"/>
      <w:jc w:val="both"/>
    </w:pPr>
    <w:rPr>
      <w:rFonts w:ascii="Times New Roman" w:hAnsi="Times New Roman" w:cs="Times New Roman"/>
      <w:kern w:val="2"/>
      <w:sz w:val="21"/>
      <w:szCs w:val="20"/>
    </w:rPr>
  </w:style>
  <w:style w:type="paragraph" w:styleId="8">
    <w:name w:val="Document Map"/>
    <w:basedOn w:val="1"/>
    <w:link w:val="40"/>
    <w:semiHidden/>
    <w:unhideWhenUsed/>
    <w:qFormat/>
    <w:uiPriority w:val="99"/>
    <w:pPr>
      <w:autoSpaceDE/>
      <w:autoSpaceDN/>
      <w:jc w:val="both"/>
    </w:pPr>
    <w:rPr>
      <w:rFonts w:hAnsiTheme="minorHAnsi" w:cstheme="minorBidi"/>
      <w:kern w:val="2"/>
      <w:sz w:val="24"/>
      <w:szCs w:val="24"/>
    </w:rPr>
  </w:style>
  <w:style w:type="paragraph" w:styleId="9">
    <w:name w:val="annotation text"/>
    <w:basedOn w:val="1"/>
    <w:link w:val="35"/>
    <w:qFormat/>
    <w:uiPriority w:val="99"/>
    <w:pPr>
      <w:autoSpaceDE/>
      <w:autoSpaceDN/>
    </w:pPr>
    <w:rPr>
      <w:rFonts w:asciiTheme="minorHAnsi" w:hAnsiTheme="minorHAnsi" w:eastAsiaTheme="minorEastAsia" w:cstheme="minorBidi"/>
      <w:kern w:val="2"/>
      <w:sz w:val="24"/>
    </w:rPr>
  </w:style>
  <w:style w:type="paragraph" w:styleId="10">
    <w:name w:val="Body Text"/>
    <w:basedOn w:val="1"/>
    <w:link w:val="26"/>
    <w:qFormat/>
    <w:uiPriority w:val="1"/>
    <w:rPr>
      <w:sz w:val="19"/>
      <w:szCs w:val="19"/>
    </w:rPr>
  </w:style>
  <w:style w:type="paragraph" w:styleId="11">
    <w:name w:val="toc 3"/>
    <w:basedOn w:val="1"/>
    <w:next w:val="1"/>
    <w:semiHidden/>
    <w:unhideWhenUsed/>
    <w:qFormat/>
    <w:uiPriority w:val="39"/>
    <w:pPr>
      <w:autoSpaceDE/>
      <w:autoSpaceDN/>
      <w:ind w:left="840" w:leftChars="400"/>
      <w:jc w:val="both"/>
    </w:pPr>
    <w:rPr>
      <w:rFonts w:asciiTheme="minorHAnsi" w:hAnsiTheme="minorHAnsi" w:eastAsiaTheme="minorEastAsia" w:cstheme="minorBidi"/>
      <w:kern w:val="2"/>
      <w:sz w:val="21"/>
    </w:rPr>
  </w:style>
  <w:style w:type="paragraph" w:styleId="12">
    <w:name w:val="Balloon Text"/>
    <w:basedOn w:val="1"/>
    <w:link w:val="38"/>
    <w:semiHidden/>
    <w:unhideWhenUsed/>
    <w:qFormat/>
    <w:uiPriority w:val="99"/>
    <w:pPr>
      <w:adjustRightInd w:val="0"/>
    </w:pPr>
    <w:rPr>
      <w:rFonts w:ascii="Times New Roman" w:hAnsi="Times New Roman" w:eastAsia="等线" w:cs="Times New Roman"/>
      <w:sz w:val="18"/>
      <w:szCs w:val="18"/>
    </w:rPr>
  </w:style>
  <w:style w:type="paragraph" w:styleId="13">
    <w:name w:val="footer"/>
    <w:basedOn w:val="1"/>
    <w:link w:val="28"/>
    <w:unhideWhenUsed/>
    <w:qFormat/>
    <w:uiPriority w:val="99"/>
    <w:pPr>
      <w:tabs>
        <w:tab w:val="center" w:pos="4153"/>
        <w:tab w:val="right" w:pos="8306"/>
      </w:tabs>
      <w:snapToGrid w:val="0"/>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semiHidden/>
    <w:unhideWhenUsed/>
    <w:qFormat/>
    <w:uiPriority w:val="39"/>
    <w:pPr>
      <w:autoSpaceDE/>
      <w:autoSpaceDN/>
      <w:jc w:val="both"/>
    </w:pPr>
    <w:rPr>
      <w:rFonts w:asciiTheme="minorHAnsi" w:hAnsiTheme="minorHAnsi" w:eastAsiaTheme="minorEastAsia" w:cstheme="minorBidi"/>
      <w:kern w:val="2"/>
      <w:sz w:val="21"/>
    </w:rPr>
  </w:style>
  <w:style w:type="paragraph" w:styleId="16">
    <w:name w:val="toc 4"/>
    <w:basedOn w:val="1"/>
    <w:next w:val="1"/>
    <w:semiHidden/>
    <w:unhideWhenUsed/>
    <w:qFormat/>
    <w:uiPriority w:val="39"/>
    <w:pPr>
      <w:autoSpaceDE/>
      <w:autoSpaceDN/>
      <w:ind w:left="1260" w:leftChars="600"/>
      <w:jc w:val="both"/>
    </w:pPr>
    <w:rPr>
      <w:rFonts w:asciiTheme="minorHAnsi" w:hAnsiTheme="minorHAnsi" w:eastAsiaTheme="minorEastAsia" w:cstheme="minorBidi"/>
      <w:kern w:val="2"/>
      <w:sz w:val="21"/>
    </w:rPr>
  </w:style>
  <w:style w:type="paragraph" w:styleId="17">
    <w:name w:val="toc 2"/>
    <w:basedOn w:val="1"/>
    <w:next w:val="1"/>
    <w:semiHidden/>
    <w:unhideWhenUsed/>
    <w:qFormat/>
    <w:uiPriority w:val="39"/>
    <w:pPr>
      <w:autoSpaceDE/>
      <w:autoSpaceDN/>
      <w:ind w:left="420" w:leftChars="200"/>
      <w:jc w:val="both"/>
    </w:pPr>
    <w:rPr>
      <w:rFonts w:asciiTheme="minorHAnsi" w:hAnsiTheme="minorHAnsi" w:eastAsiaTheme="minorEastAsia" w:cstheme="minorBidi"/>
      <w:kern w:val="2"/>
      <w:sz w:val="21"/>
    </w:rPr>
  </w:style>
  <w:style w:type="paragraph" w:styleId="18">
    <w:name w:val="Normal (Web)"/>
    <w:basedOn w:val="1"/>
    <w:semiHidden/>
    <w:unhideWhenUsed/>
    <w:qFormat/>
    <w:uiPriority w:val="99"/>
    <w:pPr>
      <w:widowControl/>
      <w:autoSpaceDE/>
      <w:autoSpaceDN/>
      <w:spacing w:before="100" w:beforeAutospacing="1" w:after="100" w:afterAutospacing="1"/>
    </w:pPr>
    <w:rPr>
      <w:sz w:val="24"/>
      <w:szCs w:val="24"/>
    </w:rPr>
  </w:style>
  <w:style w:type="table" w:styleId="20">
    <w:name w:val="Table Grid"/>
    <w:basedOn w:val="19"/>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FollowedHyperlink"/>
    <w:basedOn w:val="21"/>
    <w:semiHidden/>
    <w:unhideWhenUsed/>
    <w:qFormat/>
    <w:uiPriority w:val="99"/>
    <w:rPr>
      <w:color w:val="954F72" w:themeColor="followedHyperlink"/>
      <w:u w:val="single"/>
      <w14:textFill>
        <w14:solidFill>
          <w14:schemeClr w14:val="folHlink"/>
        </w14:solidFill>
      </w14:textFill>
    </w:rPr>
  </w:style>
  <w:style w:type="character" w:styleId="23">
    <w:name w:val="Hyperlink"/>
    <w:unhideWhenUsed/>
    <w:qFormat/>
    <w:uiPriority w:val="99"/>
    <w:rPr>
      <w:color w:val="0563C1"/>
      <w:u w:val="single"/>
    </w:rPr>
  </w:style>
  <w:style w:type="character" w:styleId="24">
    <w:name w:val="annotation reference"/>
    <w:qFormat/>
    <w:uiPriority w:val="99"/>
    <w:rPr>
      <w:sz w:val="21"/>
    </w:rPr>
  </w:style>
  <w:style w:type="character" w:customStyle="1" w:styleId="25">
    <w:name w:val="标题 2 字符"/>
    <w:basedOn w:val="21"/>
    <w:link w:val="3"/>
    <w:qFormat/>
    <w:uiPriority w:val="9"/>
    <w:rPr>
      <w:rFonts w:ascii="宋体" w:hAnsi="宋体" w:eastAsia="宋体" w:cs="宋体"/>
      <w:b/>
      <w:bCs/>
      <w:kern w:val="0"/>
      <w:szCs w:val="21"/>
    </w:rPr>
  </w:style>
  <w:style w:type="character" w:customStyle="1" w:styleId="26">
    <w:name w:val="正文文本 字符"/>
    <w:basedOn w:val="21"/>
    <w:link w:val="10"/>
    <w:qFormat/>
    <w:uiPriority w:val="1"/>
    <w:rPr>
      <w:rFonts w:ascii="宋体" w:hAnsi="宋体" w:eastAsia="宋体" w:cs="宋体"/>
      <w:kern w:val="0"/>
      <w:sz w:val="19"/>
      <w:szCs w:val="19"/>
    </w:rPr>
  </w:style>
  <w:style w:type="character" w:customStyle="1" w:styleId="27">
    <w:name w:val="页眉 字符"/>
    <w:basedOn w:val="21"/>
    <w:link w:val="14"/>
    <w:qFormat/>
    <w:uiPriority w:val="99"/>
    <w:rPr>
      <w:rFonts w:ascii="宋体" w:hAnsi="宋体" w:eastAsia="宋体" w:cs="宋体"/>
      <w:kern w:val="0"/>
      <w:sz w:val="18"/>
      <w:szCs w:val="18"/>
    </w:rPr>
  </w:style>
  <w:style w:type="character" w:customStyle="1" w:styleId="28">
    <w:name w:val="页脚 字符"/>
    <w:basedOn w:val="21"/>
    <w:link w:val="13"/>
    <w:qFormat/>
    <w:uiPriority w:val="99"/>
    <w:rPr>
      <w:rFonts w:ascii="宋体" w:hAnsi="宋体" w:eastAsia="宋体" w:cs="宋体"/>
      <w:kern w:val="0"/>
      <w:sz w:val="18"/>
      <w:szCs w:val="18"/>
    </w:rPr>
  </w:style>
  <w:style w:type="character" w:customStyle="1" w:styleId="29">
    <w:name w:val="标题 1 字符"/>
    <w:basedOn w:val="21"/>
    <w:link w:val="2"/>
    <w:qFormat/>
    <w:uiPriority w:val="9"/>
    <w:rPr>
      <w:rFonts w:ascii="宋体" w:hAnsi="Times New Roman" w:eastAsia="宋体" w:cs="宋体"/>
      <w:kern w:val="0"/>
      <w:sz w:val="38"/>
      <w:szCs w:val="38"/>
    </w:rPr>
  </w:style>
  <w:style w:type="character" w:customStyle="1" w:styleId="30">
    <w:name w:val="标题 3 字符"/>
    <w:basedOn w:val="21"/>
    <w:link w:val="4"/>
    <w:qFormat/>
    <w:uiPriority w:val="9"/>
    <w:rPr>
      <w:rFonts w:ascii="宋体" w:hAnsi="Times New Roman" w:eastAsia="宋体" w:cs="宋体"/>
      <w:kern w:val="0"/>
      <w:szCs w:val="21"/>
    </w:rPr>
  </w:style>
  <w:style w:type="character" w:customStyle="1" w:styleId="31">
    <w:name w:val="标题 4 字符"/>
    <w:basedOn w:val="21"/>
    <w:link w:val="5"/>
    <w:qFormat/>
    <w:uiPriority w:val="9"/>
    <w:rPr>
      <w:rFonts w:ascii="宋体" w:hAnsi="Times New Roman" w:eastAsia="宋体" w:cs="宋体"/>
      <w:kern w:val="0"/>
      <w:sz w:val="20"/>
      <w:szCs w:val="20"/>
    </w:rPr>
  </w:style>
  <w:style w:type="character" w:customStyle="1" w:styleId="32">
    <w:name w:val="标题 5 字符"/>
    <w:basedOn w:val="21"/>
    <w:link w:val="6"/>
    <w:qFormat/>
    <w:uiPriority w:val="9"/>
    <w:rPr>
      <w:rFonts w:ascii="Times New Roman" w:hAnsi="Times New Roman" w:eastAsia="等线" w:cs="Times New Roman"/>
      <w:b/>
      <w:bCs/>
      <w:kern w:val="0"/>
      <w:sz w:val="28"/>
      <w:szCs w:val="28"/>
    </w:rPr>
  </w:style>
  <w:style w:type="paragraph" w:styleId="33">
    <w:name w:val="List Paragraph"/>
    <w:basedOn w:val="1"/>
    <w:qFormat/>
    <w:uiPriority w:val="34"/>
    <w:pPr>
      <w:adjustRightInd w:val="0"/>
    </w:pPr>
    <w:rPr>
      <w:rFonts w:ascii="Times New Roman" w:hAnsi="Times New Roman" w:eastAsia="等线" w:cs="Times New Roman"/>
      <w:sz w:val="24"/>
      <w:szCs w:val="24"/>
    </w:rPr>
  </w:style>
  <w:style w:type="paragraph" w:customStyle="1" w:styleId="34">
    <w:name w:val="Table Paragraph"/>
    <w:basedOn w:val="1"/>
    <w:qFormat/>
    <w:uiPriority w:val="1"/>
    <w:pPr>
      <w:adjustRightInd w:val="0"/>
    </w:pPr>
    <w:rPr>
      <w:rFonts w:ascii="Times New Roman" w:hAnsi="Times New Roman" w:eastAsia="等线" w:cs="Times New Roman"/>
      <w:sz w:val="24"/>
      <w:szCs w:val="24"/>
    </w:rPr>
  </w:style>
  <w:style w:type="character" w:customStyle="1" w:styleId="35">
    <w:name w:val="批注文字 字符1"/>
    <w:link w:val="9"/>
    <w:qFormat/>
    <w:locked/>
    <w:uiPriority w:val="99"/>
    <w:rPr>
      <w:sz w:val="24"/>
    </w:rPr>
  </w:style>
  <w:style w:type="character" w:customStyle="1" w:styleId="36">
    <w:name w:val="批注文字 Char1"/>
    <w:basedOn w:val="21"/>
    <w:semiHidden/>
    <w:qFormat/>
    <w:uiPriority w:val="99"/>
    <w:rPr>
      <w:rFonts w:ascii="宋体" w:hAnsi="宋体" w:eastAsia="宋体" w:cs="宋体"/>
      <w:kern w:val="0"/>
      <w:sz w:val="22"/>
    </w:rPr>
  </w:style>
  <w:style w:type="character" w:customStyle="1" w:styleId="37">
    <w:name w:val="批注文字 字符"/>
    <w:semiHidden/>
    <w:qFormat/>
    <w:uiPriority w:val="99"/>
    <w:rPr>
      <w:rFonts w:ascii="Times New Roman" w:hAnsi="Times New Roman" w:cs="Times New Roman"/>
      <w:kern w:val="0"/>
      <w:sz w:val="24"/>
      <w:szCs w:val="24"/>
    </w:rPr>
  </w:style>
  <w:style w:type="character" w:customStyle="1" w:styleId="38">
    <w:name w:val="批注框文本 字符"/>
    <w:basedOn w:val="21"/>
    <w:link w:val="12"/>
    <w:semiHidden/>
    <w:qFormat/>
    <w:uiPriority w:val="99"/>
    <w:rPr>
      <w:rFonts w:ascii="Times New Roman" w:hAnsi="Times New Roman" w:eastAsia="等线" w:cs="Times New Roman"/>
      <w:kern w:val="0"/>
      <w:sz w:val="18"/>
      <w:szCs w:val="18"/>
    </w:rPr>
  </w:style>
  <w:style w:type="paragraph" w:customStyle="1" w:styleId="39">
    <w:name w:val="msonormal"/>
    <w:basedOn w:val="1"/>
    <w:semiHidden/>
    <w:qFormat/>
    <w:uiPriority w:val="99"/>
    <w:pPr>
      <w:widowControl/>
      <w:autoSpaceDE/>
      <w:autoSpaceDN/>
      <w:spacing w:before="100" w:beforeAutospacing="1" w:after="100" w:afterAutospacing="1"/>
    </w:pPr>
    <w:rPr>
      <w:sz w:val="24"/>
      <w:szCs w:val="24"/>
    </w:rPr>
  </w:style>
  <w:style w:type="character" w:customStyle="1" w:styleId="40">
    <w:name w:val="文档结构图 字符"/>
    <w:basedOn w:val="21"/>
    <w:link w:val="8"/>
    <w:semiHidden/>
    <w:qFormat/>
    <w:uiPriority w:val="99"/>
    <w:rPr>
      <w:rFonts w:ascii="宋体" w:eastAsia="宋体"/>
      <w:sz w:val="24"/>
      <w:szCs w:val="24"/>
    </w:rPr>
  </w:style>
  <w:style w:type="paragraph" w:customStyle="1" w:styleId="41">
    <w:name w:val="Default"/>
    <w:basedOn w:val="1"/>
    <w:semiHidden/>
    <w:qFormat/>
    <w:uiPriority w:val="99"/>
    <w:pPr>
      <w:adjustRightInd w:val="0"/>
    </w:pPr>
    <w:rPr>
      <w:color w:val="000000"/>
      <w:sz w:val="24"/>
      <w:szCs w:val="24"/>
    </w:rPr>
  </w:style>
  <w:style w:type="paragraph" w:customStyle="1" w:styleId="42">
    <w:name w:val="正文1"/>
    <w:semiHidden/>
    <w:qFormat/>
    <w:uiPriority w:val="99"/>
    <w:pPr>
      <w:jc w:val="both"/>
    </w:pPr>
    <w:rPr>
      <w:rFonts w:ascii="Calibri" w:hAnsi="Calibri" w:eastAsia="宋体" w:cs="Calibri"/>
      <w:kern w:val="2"/>
      <w:sz w:val="21"/>
      <w:szCs w:val="21"/>
      <w:lang w:val="en-US" w:eastAsia="zh-CN" w:bidi="ar-SA"/>
    </w:rPr>
  </w:style>
  <w:style w:type="character" w:customStyle="1" w:styleId="43">
    <w:name w:val="font01"/>
    <w:basedOn w:val="21"/>
    <w:qFormat/>
    <w:uiPriority w:val="0"/>
    <w:rPr>
      <w:rFonts w:hint="eastAsia" w:ascii="宋体" w:hAnsi="宋体" w:eastAsia="宋体"/>
      <w:color w:val="000000"/>
      <w:sz w:val="18"/>
      <w:szCs w:val="18"/>
      <w:u w:val="none"/>
    </w:rPr>
  </w:style>
  <w:style w:type="paragraph" w:customStyle="1" w:styleId="44">
    <w:name w:val="Revision"/>
    <w:hidden/>
    <w:semiHidden/>
    <w:qFormat/>
    <w:uiPriority w:val="99"/>
    <w:rPr>
      <w:rFonts w:ascii="宋体" w:hAnsi="宋体" w:eastAsia="宋体" w:cs="宋体"/>
      <w:kern w:val="0"/>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2869</Words>
  <Characters>16359</Characters>
  <Lines>136</Lines>
  <Paragraphs>38</Paragraphs>
  <TotalTime>35</TotalTime>
  <ScaleCrop>false</ScaleCrop>
  <LinksUpToDate>false</LinksUpToDate>
  <CharactersWithSpaces>19190</CharactersWithSpaces>
  <Application>WPS Office_5.0.0.7550_F1E327BC-269C-435d-A152-05C5408002CA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2022-07-12T10:39:00Z</dcterms:created>
  <dc:creator>liu</dc:creator>
  <cp:lastModifiedBy>WPS_1659951871</cp:lastModifiedBy>
  <dcterms:modified xsi:type="dcterms:W3CDTF">2022-11-28T15:39:24Z</dcterms:modified>
  <cp:revision>164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2052-5.0.0.7550</vt:lpwstr>
  </property>
  <property fmtid="{D5CDD505-2E9C-101B-9397-08002B2CF9AE}" pid="3" name="ICV">
    <vt:lpwstr>803F881FBAD237D9AC658463F100CAA6</vt:lpwstr>
  </property>
</Properties>
</file>